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261373" w:rsidRDefault="00624D76" w:rsidP="00EC1A29">
      <w:pPr>
        <w:pStyle w:val="Kop5"/>
      </w:pPr>
      <w:r>
        <w:t>T</w:t>
      </w:r>
      <w:r w:rsidRPr="00F67C6C">
        <w:t>erinzagelegging</w:t>
      </w:r>
      <w:r w:rsidRPr="00F67C6C" w:rsidDel="00F67C6C">
        <w:t xml:space="preserve"> </w:t>
      </w:r>
      <w:r w:rsidRPr="001D53C2">
        <w:t xml:space="preserve">van op </w:t>
      </w:r>
      <w:r>
        <w:t>de zaak</w:t>
      </w:r>
      <w:r w:rsidRPr="001D53C2">
        <w:t xml:space="preserve"> betrekking hebbende stukken</w:t>
      </w:r>
    </w:p>
    <w:p w14:paraId="5AB83ED5" w14:textId="70719431" w:rsidR="00261373" w:rsidRDefault="00624D76" w:rsidP="00EC1A29">
      <w:r w:rsidRPr="0097076B">
        <w:t xml:space="preserve">Waterschap, provincie of Rijk moet de op </w:t>
      </w:r>
      <w:r>
        <w:t>de zaak</w:t>
      </w:r>
      <w:r w:rsidRPr="0097076B">
        <w:t xml:space="preserve"> betrekking hebbende stukken ter inzage leggen</w:t>
      </w:r>
      <w:r>
        <w:t>.</w:t>
      </w:r>
    </w:p>
    <w:p w14:paraId="694F63CB" w14:textId="4C556C3F" w:rsidR="00261373" w:rsidRDefault="00624D76"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_Ref_5daf2c0e4c78729183472fac49b3f3c8_2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_Ref_5daf2c0e4c78729183472fac49b3f3c8_3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261373" w:rsidRPr="007A6B39" w:rsidRDefault="00624D76" w:rsidP="00EC1A29">
      <w:pPr>
        <w:pStyle w:val="Kader"/>
      </w:pPr>
      <w:r w:rsidRPr="00B26823">
        <w:rPr>
          <w:noProof/>
        </w:rPr>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261373" w:rsidRPr="00D80A79" w:rsidRDefault="00624D76" w:rsidP="00EC1A29">
                            <w:pPr>
                              <w:rPr>
                                <w:b/>
                                <w:bCs/>
                              </w:rPr>
                            </w:pPr>
                            <w:r w:rsidRPr="00D80A79">
                              <w:rPr>
                                <w:b/>
                                <w:bCs/>
                              </w:rPr>
                              <w:t>Toekomstige functionaliteit</w:t>
                            </w:r>
                          </w:p>
                          <w:p w14:paraId="26D24F28" w14:textId="4E1A8470" w:rsidR="00261373" w:rsidRDefault="00624D76"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261373" w:rsidRDefault="00261373" w:rsidP="003B1642"/>
                          <w:p w14:paraId="6ABC0C9C" w14:textId="77777777" w:rsidR="00261373" w:rsidRPr="006971CB" w:rsidRDefault="00624D76" w:rsidP="003B1642">
                            <w:pPr>
                              <w:rPr>
                                <w:b/>
                                <w:bCs/>
                              </w:rPr>
                            </w:pPr>
                            <w:r w:rsidRPr="006971CB">
                              <w:rPr>
                                <w:b/>
                                <w:bCs/>
                              </w:rPr>
                              <w:t>Workaround</w:t>
                            </w:r>
                          </w:p>
                          <w:p w14:paraId="4B3C9A1B" w14:textId="6820DC9D" w:rsidR="00261373" w:rsidRDefault="00624D76"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EF0EB0D" w14:textId="77777777" w:rsidR="00261373" w:rsidRDefault="00624D76"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261373" w:rsidRDefault="00624D76"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261373" w:rsidRDefault="00261373" w:rsidP="003B1642"/>
                          <w:p w14:paraId="3F9270FC" w14:textId="2AE8E7C6" w:rsidR="00261373" w:rsidRDefault="00624D76"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C75CD2">
                              <w:t>in het onderdeel</w:t>
                            </w:r>
                            <w:r w:rsidR="00C75CD2" w:rsidRPr="00673752">
                              <w:t xml:space="preserve"> </w:t>
                            </w:r>
                            <w:r w:rsidRPr="00673752">
                              <w:t>Toelichting</w:t>
                            </w:r>
                            <w:r>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261373" w:rsidRPr="0022671B" w:rsidRDefault="00624D76" w:rsidP="00701B57">
                            <w:r w:rsidRPr="00AA4A1D">
                              <w:t xml:space="preserve">Wanneer het bevoegd gezag zelf de stukken op elektronische wijze ontsluit, wordt </w:t>
                            </w:r>
                            <w:r>
                              <w:t xml:space="preserve">aanbevolen 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rIMA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FH50aXlO5Aw6O9iPirVw2iH8vfHgSDjOB/jDn4RFHpQlF0UHirCb362/30R9UwcpZhxkr&#10;uMEScKZ/GFB4PRxF0EJSRuOvF1DcuWV9bjGbdkHoc4h9sjKJ0T/oo1g5al+xDPOYEyZhJDIXPBzF&#10;RdjPPZZJqvk8OWEIrQj3ZmVlDH1E9bl/Fc4e2Arg+YGOsyimH0jb+8aX3s43AdQlRiPMe0wP6GOA&#10;EzmHZYsbcq4nr/dfwu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66yDACAABaBAAADgAAAAAAAAAAAAAAAAAuAgAAZHJz&#10;L2Uyb0RvYy54bWxQSwECLQAUAAYACAAAACEALfghbNoAAAAFAQAADwAAAAAAAAAAAAAAAACKBAAA&#10;ZHJzL2Rvd25yZXYueG1sUEsFBgAAAAAEAAQA8wAAAJEFAAAAAA==&#10;" filled="f" strokeweight=".5pt">
                <v:textbox style="mso-fit-shape-to-text:t">
                  <w:txbxContent>
                    <w:p w14:paraId="538D3517" w14:textId="77777777" w:rsidR="00261373" w:rsidRPr="00D80A79" w:rsidRDefault="00624D76" w:rsidP="00EC1A29">
                      <w:pPr>
                        <w:rPr>
                          <w:b/>
                          <w:bCs/>
                        </w:rPr>
                      </w:pPr>
                      <w:r w:rsidRPr="00D80A79">
                        <w:rPr>
                          <w:b/>
                          <w:bCs/>
                        </w:rPr>
                        <w:t>Toekomstige functionaliteit</w:t>
                      </w:r>
                    </w:p>
                    <w:p w14:paraId="26D24F28" w14:textId="4E1A8470" w:rsidR="00261373" w:rsidRDefault="00624D76"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261373" w:rsidRDefault="00261373" w:rsidP="003B1642"/>
                    <w:p w14:paraId="6ABC0C9C" w14:textId="77777777" w:rsidR="00261373" w:rsidRPr="006971CB" w:rsidRDefault="00624D76" w:rsidP="003B1642">
                      <w:pPr>
                        <w:rPr>
                          <w:b/>
                          <w:bCs/>
                        </w:rPr>
                      </w:pPr>
                      <w:r w:rsidRPr="006971CB">
                        <w:rPr>
                          <w:b/>
                          <w:bCs/>
                        </w:rPr>
                        <w:t>Workaround</w:t>
                      </w:r>
                    </w:p>
                    <w:p w14:paraId="4B3C9A1B" w14:textId="6820DC9D" w:rsidR="00261373" w:rsidRDefault="00624D76"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EF0EB0D" w14:textId="77777777" w:rsidR="00261373" w:rsidRDefault="00624D76"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261373" w:rsidRDefault="00624D76"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261373" w:rsidRDefault="00261373" w:rsidP="003B1642"/>
                    <w:p w14:paraId="3F9270FC" w14:textId="2AE8E7C6" w:rsidR="00261373" w:rsidRDefault="00624D76"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C75CD2">
                        <w:t>in het onderdeel</w:t>
                      </w:r>
                      <w:r w:rsidR="00C75CD2" w:rsidRPr="00673752">
                        <w:t xml:space="preserve"> </w:t>
                      </w:r>
                      <w:r w:rsidRPr="00673752">
                        <w:t>Toelichting</w:t>
                      </w:r>
                      <w:r>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261373" w:rsidRPr="0022671B" w:rsidRDefault="00624D76" w:rsidP="00701B57">
                      <w:r w:rsidRPr="00AA4A1D">
                        <w:t xml:space="preserve">Wanneer het bevoegd gezag zelf de stukken op elektronische wijze ontsluit, wordt </w:t>
                      </w:r>
                      <w:r>
                        <w:t xml:space="preserve">aanbevolen 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