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FE5B0A" w:rsidRPr="00B4058F">
        <w:t xml:space="preserve">besluiten en andere rechtsfiguren </w:t>
      </w:r>
      <w:r w:rsidRPr="00B26823">
        <w:t>die verschillende bevoegde gezagen in staat stellen besluiten te nemen die ingrijpen in de leefomgeving. De belangrijkste</w:t>
      </w:r>
      <w:r w:rsidR="00FE5B0A" w:rsidRPr="00B26823">
        <w:t xml:space="preserve"> </w:t>
      </w:r>
      <w:r w:rsidR="00FE5B0A">
        <w:t>instrumenten</w:t>
      </w:r>
      <w:r w:rsidR="00FE5B0A"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