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8D3343" w:rsidRPr="000E40D3" w:rsidRDefault="00FE5B0A" w:rsidP="008D3343">
      <w:pPr>
        <w:pStyle w:val="Kop4"/>
      </w:pPr>
      <w:r w:rsidRPr="000E40D3">
        <w:t>Informatieobject als bijlage</w:t>
      </w:r>
    </w:p>
    <w:p w14:paraId="5FF2B756" w14:textId="77777777" w:rsidR="008D3343" w:rsidRPr="000E40D3" w:rsidRDefault="008D3343" w:rsidP="008D3343"/>
    <w:p w14:paraId="7D7047D0" w14:textId="77777777" w:rsidR="008D3343" w:rsidRPr="000E40D3" w:rsidRDefault="00FE5B0A" w:rsidP="008D3343">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0DD109BE" w14:textId="64870211" w:rsidR="00A01A90" w:rsidRDefault="00FE5B0A" w:rsidP="00A01A90">
      <w:r w:rsidRPr="000E40D3">
        <w:t xml:space="preserve">Naast </w:t>
      </w:r>
      <w:r w:rsidR="00823B74">
        <w:t xml:space="preserve">het </w:t>
      </w:r>
      <w:r w:rsidR="00C45306">
        <w:t>geografisch informatieobject</w:t>
      </w:r>
      <w:r w:rsidRPr="000E40D3">
        <w:t xml:space="preserve">, </w:t>
      </w:r>
      <w:r>
        <w:t>die</w:t>
      </w:r>
      <w:r w:rsidRPr="000E40D3">
        <w:t xml:space="preserve"> wordt beschreven in paragraaf </w:t>
      </w:r>
      <w:r w:rsidRPr="009B6A2D">
        <w:rPr>
          <w:rStyle w:val="Verwijzing"/>
        </w:rPr>
        <w:fldChar w:fldCharType="begin"/>
      </w:r>
      <w:r w:rsidRPr="009B6A2D">
        <w:rPr>
          <w:rStyle w:val="Verwijzing"/>
        </w:rPr>
        <w:instrText xml:space="preserve"> REF _Ref_2a0cc91e10b1ffc35b03fedc496ac7f9_1 \n \h </w:instrText>
      </w:r>
      <w:r w:rsidRPr="009B6A2D">
        <w:rPr>
          <w:rStyle w:val="Verwijzing"/>
        </w:rPr>
      </w:r>
      <w:r w:rsidRPr="009B6A2D">
        <w:rPr>
          <w:rStyle w:val="Verwijzing"/>
        </w:rPr>
        <w:fldChar w:fldCharType="separate"/>
      </w:r>
      <w:r w:rsidR="002650B8">
        <w:rPr>
          <w:rStyle w:val="Verwijzing"/>
        </w:rPr>
        <w:t>6.1.2.2</w:t>
      </w:r>
      <w:r w:rsidRPr="009B6A2D">
        <w:rPr>
          <w:rStyle w:val="Verwijzing"/>
        </w:rPr>
        <w:fldChar w:fldCharType="end"/>
      </w:r>
      <w:r w:rsidRPr="000E40D3">
        <w:t xml:space="preserve">, kent STOP het document-informatieobject, dat wordt gebruikt voor tekstuele bijlagen. Bekende voorbeelden zijn onderzoeksrapportages zoals een bodemrapport en een milieueffectrapport. </w:t>
      </w:r>
      <w:r w:rsidR="00A01A90" w:rsidRPr="000E40D3">
        <w:t>De bijlage wordt in de vorm van een PDF-</w:t>
      </w:r>
      <w:r w:rsidR="00A01A90">
        <w:t>bestand</w:t>
      </w:r>
      <w:r w:rsidR="00A01A90" w:rsidRPr="000E40D3">
        <w:t xml:space="preserve"> met het besluit meegegeven, gemodelleerd als document-informatieobject. </w:t>
      </w:r>
      <w:r w:rsidR="00A01A90">
        <w:t xml:space="preserve">Een bijlage </w:t>
      </w:r>
      <w:r w:rsidR="00A01A90" w:rsidRPr="005B03B8">
        <w:t xml:space="preserve">mag alleen als PDF-bestand worden aangeleverd als het voor het bevoegd gezag redelijkerwijs niet mogelijk is om de bijlage als onderdeel van de tekst in STOP-XML op te stellen. </w:t>
      </w:r>
      <w:r w:rsidR="00A01A90" w:rsidRPr="000E40D3">
        <w:t xml:space="preserve">Als de bijlage bekendgemaakt en/of geconsolideerd moet worden, moet het PDF-document </w:t>
      </w:r>
      <w:r w:rsidR="00A01A90">
        <w:t xml:space="preserve">onveranderlijk zijn. Daarom moet het </w:t>
      </w:r>
      <w:r w:rsidR="00A01A90" w:rsidRPr="000E40D3">
        <w:t>voldoen aan de eisen van PDF/A-1a of PDF/A-2a. Bij een latere wijziging van het document-informatieobject moet het gehele document worden vervangen. STOP kent namelijk geen voorziening om een document-informatieobject te muteren.</w:t>
      </w:r>
    </w:p>
    <w:p w14:paraId="62C5F366" w14:textId="276F6B82" w:rsidR="008D3343" w:rsidRDefault="00A01A90" w:rsidP="00A01A90">
      <w:r>
        <w:t xml:space="preserve">Let op dat een </w:t>
      </w:r>
      <w:r w:rsidRPr="00DD1D34">
        <w:t>document-informatieobject</w:t>
      </w:r>
      <w:r>
        <w:t xml:space="preserve"> precies hetzelfde werkt als een GIO. Het wordt geen onderdeel van de tekst van regeling of besluit.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GIO’s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