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8D3343" w:rsidRPr="00F1426F" w:rsidRDefault="00FE5B0A" w:rsidP="008D3343">
      <w:pPr>
        <w:pStyle w:val="Kop5"/>
      </w:pPr>
      <w:r w:rsidRPr="00F1426F">
        <w:t>Externe veiligheid</w:t>
      </w:r>
    </w:p>
    <w:p w14:paraId="5AF750C6" w14:textId="77777777" w:rsidR="008D3343" w:rsidRPr="00F1426F" w:rsidRDefault="00FE5B0A" w:rsidP="008D3343">
      <w:pPr>
        <w:pStyle w:val="Kop6"/>
      </w:pPr>
      <w:r w:rsidRPr="00F1426F">
        <w:t>Toelichting op de toepassing</w:t>
      </w:r>
    </w:p>
    <w:p w14:paraId="5CE2A44E" w14:textId="77777777" w:rsidR="008D3343" w:rsidRPr="00F1426F" w:rsidRDefault="00FE5B0A" w:rsidP="008D3343">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8D3343" w:rsidRPr="00F1426F" w:rsidRDefault="00FE5B0A" w:rsidP="008D3343">
      <w:r w:rsidRPr="00F1426F">
        <w:t xml:space="preserve">Provincies zullen de Gebiedsaanwijzing Externe veiligheid vooral gebruiken voor belemmeringengebieden en risicogebieden. Ook gemeenten zullen in omgevingsvisie en omgevingsplan beleid en regels over de externe veiligheid opnemen en kunnen daarvoor </w:t>
      </w:r>
      <w:r w:rsidRPr="00F1426F">
        <w:lastRenderedPageBreak/>
        <w:t>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8D3343" w:rsidRPr="00F1426F" w:rsidRDefault="00FE5B0A" w:rsidP="008D3343">
      <w:pPr>
        <w:pStyle w:val="Kop6"/>
      </w:pPr>
      <w:r w:rsidRPr="00F1426F">
        <w:t>Definitie</w:t>
      </w:r>
    </w:p>
    <w:p w14:paraId="58CFD7DC" w14:textId="77777777" w:rsidR="008D3343" w:rsidRPr="00F1426F" w:rsidRDefault="00FE5B0A" w:rsidP="008D3343">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