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8D3343" w:rsidRPr="007F28B9" w:rsidRDefault="00FE5B0A" w:rsidP="008D3343">
      <w:pPr>
        <w:pStyle w:val="Kop5"/>
      </w:pPr>
      <w:r w:rsidRPr="007F28B9">
        <w:t>Geur</w:t>
      </w:r>
    </w:p>
    <w:p w14:paraId="691C89E0" w14:textId="77777777" w:rsidR="008D3343" w:rsidRPr="007F28B9" w:rsidRDefault="00FE5B0A" w:rsidP="008D3343">
      <w:pPr>
        <w:pStyle w:val="Kop6"/>
      </w:pPr>
      <w:r w:rsidRPr="007F28B9">
        <w:t>Toelichting op de toepassing</w:t>
      </w:r>
    </w:p>
    <w:p w14:paraId="06E23CBB" w14:textId="77777777" w:rsidR="008D3343" w:rsidRPr="007F28B9" w:rsidRDefault="00FE5B0A" w:rsidP="008D3343">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8D3343" w:rsidRPr="007F28B9" w:rsidRDefault="00FE5B0A" w:rsidP="008D3343">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w:t>
      </w:r>
      <w:r>
        <w:lastRenderedPageBreak/>
        <w:t xml:space="preserve">uitgangspunt dat zij </w:t>
      </w:r>
      <w:r w:rsidRPr="00F1426F">
        <w:t>bij voorkeur gebruik maken van de Gebiedsaanwijzing van het type Functie</w:t>
      </w:r>
      <w:r>
        <w:t xml:space="preserve"> (en daarvan de relevante groep kiezen)</w:t>
      </w:r>
      <w:r w:rsidRPr="00F1426F">
        <w:t>.</w:t>
      </w:r>
    </w:p>
    <w:p w14:paraId="36FD16CD" w14:textId="77777777" w:rsidR="008D3343" w:rsidRPr="007F28B9" w:rsidRDefault="00FE5B0A" w:rsidP="008D3343">
      <w:pPr>
        <w:pStyle w:val="Kop6"/>
      </w:pPr>
      <w:r w:rsidRPr="007F28B9">
        <w:t>Definitie</w:t>
      </w:r>
    </w:p>
    <w:p w14:paraId="2660768A" w14:textId="77777777" w:rsidR="008D3343" w:rsidRPr="007F28B9" w:rsidRDefault="00FE5B0A" w:rsidP="008D3343">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