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8D3343" w:rsidRDefault="00FE5B0A" w:rsidP="008D3343">
      <w:pPr>
        <w:pStyle w:val="Kop4"/>
      </w:pPr>
      <w:r w:rsidRPr="000F1545">
        <w:lastRenderedPageBreak/>
        <w:t>Annotaties voor de dienstverlening in DSO-LV</w:t>
      </w:r>
    </w:p>
    <w:p w14:paraId="41FAE7C9" w14:textId="77777777" w:rsidR="008D3343" w:rsidRDefault="00FE5B0A" w:rsidP="008D3343">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8D3343" w:rsidRDefault="00FE5B0A" w:rsidP="008D3343">
      <w:r>
        <w:t>Om het omgevingsdocument met alles wat daar bij hoort in DSO-LV te kunnen tonen, is het verplicht om, eenmalig per omgevingsdocument, het Regelingsgebied aan te leveren.</w:t>
      </w:r>
    </w:p>
    <w:p w14:paraId="3D8EC752" w14:textId="43A0B8A6" w:rsidR="008D3343" w:rsidRDefault="00FE5B0A" w:rsidP="008D3343">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8D3343" w:rsidRDefault="00FE5B0A" w:rsidP="008D3343">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8D3343" w:rsidRDefault="00FE5B0A" w:rsidP="008D3343">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8D3343" w:rsidRPr="00662BFE" w:rsidRDefault="00FE5B0A" w:rsidP="008D3343">
      <w:r>
        <w:t>Het object Hoofdlijn tenslotte kan worden gebruikt om de informatie inzichtelijk gestructureerd aan eindgebruikers aan te bieden en een extra filtermogelijkheid te bieden waardoor bij elkaar horende onderdelen in samenhang getoond kunnen worden.</w:t>
      </w:r>
      <w:r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