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5993" w14:textId="77777777" w:rsidR="00BC406B" w:rsidRDefault="00BC406B" w:rsidP="00BC406B">
      <w:pPr>
        <w:pStyle w:val="Kop3"/>
      </w:pPr>
      <w:bookmarkStart w:id="303" w:name="_Ref_0ef9fd5861ff903c72fcb83c9f4225fd_1"/>
      <w:r>
        <w:t>De modellering van de kennisgeving</w:t>
      </w:r>
      <w:bookmarkEnd w:id="303"/>
    </w:p>
    <w:p w14:paraId="3760BC4B" w14:textId="3E518031" w:rsidR="002650B8" w:rsidRPr="00F03DD9" w:rsidRDefault="00BC406B" w:rsidP="00BC406B">
      <w:r>
        <w:t xml:space="preserve">In een aantal gevallen, die in de rest van dit hoofdstuk worden beschreven, moet een kennisgeving worden gedaan, oftewel in een van de officiële publicatiebladen geplaatst worden. </w:t>
      </w:r>
      <w:r w:rsidRPr="00B505CE">
        <w:t xml:space="preserve">De kennisgeving </w:t>
      </w:r>
      <w:r>
        <w:t>is</w:t>
      </w:r>
      <w:r w:rsidRPr="00B505CE">
        <w:t xml:space="preserve"> een zakelijke mededeling</w:t>
      </w:r>
      <w:r>
        <w:t>,</w:t>
      </w:r>
      <w:r w:rsidRPr="00B505CE">
        <w:t xml:space="preserve"> </w:t>
      </w:r>
      <w:r>
        <w:t xml:space="preserve">vaak de </w:t>
      </w:r>
      <w:r w:rsidRPr="00650F89">
        <w:t>zakelijke weergave van de inhoud 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een apart 'work' (een eigenstandig deel). </w:t>
      </w:r>
      <w:r>
        <w:t xml:space="preserve">Een </w:t>
      </w:r>
      <w:r w:rsidRPr="00F03DD9">
        <w:t xml:space="preserve">kennisgeving </w:t>
      </w:r>
      <w:r>
        <w:t>die over een besluit gaat, wordt</w:t>
      </w:r>
      <w:r w:rsidRPr="00F03DD9">
        <w:t xml:space="preserve"> </w:t>
      </w:r>
      <w:r>
        <w:t xml:space="preserve">als een afzonderlijke bestandenset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3052C2B" w14:textId="15246722" w:rsidR="00BC406B" w:rsidRPr="00F03DD9" w:rsidRDefault="00BC406B" w:rsidP="00BC406B">
      <w:r w:rsidRPr="00F03DD9">
        <w:t xml:space="preserve">De kennisgeving heeft de Vrijetekststructuur. </w:t>
      </w:r>
      <w:r>
        <w:t>De vormgeving en elementen van de kennisgeving</w:t>
      </w:r>
      <w:r w:rsidRPr="00B26823">
        <w:t xml:space="preserve"> </w:t>
      </w:r>
      <w:r>
        <w:t>zijn als volgt</w:t>
      </w:r>
      <w:r w:rsidRPr="00B26823">
        <w:t>:</w:t>
      </w:r>
    </w:p>
    <w:p w14:paraId="287C6AC1" w14:textId="77777777" w:rsidR="00BC406B" w:rsidRPr="00F03DD9" w:rsidRDefault="00BC406B" w:rsidP="00BC406B">
      <w:pPr>
        <w:pStyle w:val="Opsommingtekens1"/>
      </w:pPr>
      <w:r w:rsidRPr="00B41A87">
        <w:rPr>
          <w:b/>
          <w:bCs/>
        </w:rPr>
        <w:t>RegelingOpschrift</w:t>
      </w:r>
      <w:r>
        <w:t>: verplicht element, komt 1 keer voor.</w:t>
      </w:r>
    </w:p>
    <w:p w14:paraId="48182EC7" w14:textId="77777777" w:rsidR="00BC406B" w:rsidRPr="00F03DD9" w:rsidRDefault="00BC406B" w:rsidP="00BC406B">
      <w:pPr>
        <w:pStyle w:val="Opsommingtekens1"/>
      </w:pPr>
      <w:r w:rsidRPr="00B41A87">
        <w:rPr>
          <w:b/>
          <w:bCs/>
        </w:rPr>
        <w:t>Lichaam</w:t>
      </w:r>
      <w:r w:rsidRPr="005F2FEC">
        <w:t>: verplicht element, komt 1 keer voor.</w:t>
      </w:r>
    </w:p>
    <w:p w14:paraId="62C758C4" w14:textId="77777777" w:rsidR="00BC406B" w:rsidRPr="00F03DD9" w:rsidRDefault="00BC406B" w:rsidP="00BC406B">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14A53431" w14:textId="77777777" w:rsidR="00BC406B" w:rsidRDefault="00BC406B" w:rsidP="00BC406B">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20CFFF3D" w14:textId="77777777" w:rsidR="00BC406B" w:rsidRPr="003E6D3A" w:rsidRDefault="00BC406B" w:rsidP="00BC406B">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