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2FEA" w14:textId="77777777" w:rsidR="00BC406B" w:rsidRDefault="00BC406B" w:rsidP="00BC406B">
      <w:pPr>
        <w:pStyle w:val="Kop5"/>
      </w:pPr>
      <w:bookmarkStart w:id="318" w:name="_Ref_dd78f0576b925179d887906d28a2347e_1"/>
      <w:r>
        <w:t>Juridisch kader</w:t>
      </w:r>
      <w:bookmarkEnd w:id="318"/>
    </w:p>
    <w:p w14:paraId="6C9EFB47" w14:textId="5E01B9F7" w:rsidR="002650B8" w:rsidRDefault="00BC406B" w:rsidP="00BC406B">
      <w:r>
        <w:t>A</w:t>
      </w:r>
      <w:r w:rsidRPr="00D12CC5">
        <w:t xml:space="preserve">fdeling 3.4 Awb </w:t>
      </w:r>
      <w:r>
        <w:t>moet worden toegepast bij de voorbereiding van de verplichte programma’s van paragraaf 3.2.2 Ow, de onverplichte programma’s van paragraaf 3.2.3 Ow en de programma’s met programmatische aanpak van paragraaf 3.2.4 Ow</w:t>
      </w:r>
      <w:r>
        <w:rPr>
          <w:rStyle w:val="Voetnootmarkering"/>
        </w:rPr>
        <w:footnoteReference w:id="9"/>
      </w:r>
      <w:r>
        <w:t xml:space="preserve">. </w:t>
      </w:r>
      <w:r w:rsidRPr="00D95FA5">
        <w:t>Een bestuursorgaan kan</w:t>
      </w:r>
      <w:r>
        <w:t xml:space="preserve">, </w:t>
      </w:r>
      <w:r w:rsidRPr="00954BFB">
        <w:t>voor zover dat niet in strijd is met internationaalrechtelijke verplichtingen,</w:t>
      </w:r>
      <w:r w:rsidRPr="00D95FA5">
        <w:t xml:space="preserve"> bij de voorbereiding van de</w:t>
      </w:r>
      <w:r>
        <w:t>ze</w:t>
      </w:r>
      <w:r w:rsidRPr="00D95FA5">
        <w:t xml:space="preserve"> programma’s afdeling 3.4 Awb buiten toepassing laten als het gaat om een ondergeschikte wijziging die niet leidt tot grotere nadelige gevolgen voor het milieu en die wijziging niet ziet op een in dat programma opgenomen beschrijving van een activiteit als gevolg waarvan de activiteit is toegestaan</w:t>
      </w:r>
      <w:r>
        <w:rPr>
          <w:rStyle w:val="Voetnootmarkering"/>
        </w:rPr>
        <w:footnoteReference w:id="10"/>
      </w:r>
      <w:r w:rsidRPr="00D95FA5">
        <w:t>.</w:t>
      </w:r>
      <w:r>
        <w:t xml:space="preserve"> Bij de andere dan de hiervoor genoemde programma’s kan het bestuursorgaan zelf bepalen of het afdeling 3.4 Awb toepast of niet.</w:t>
      </w:r>
    </w:p>
    <w:p w14:paraId="6C4F8E30" w14:textId="2A1ACE20" w:rsidR="00BC406B" w:rsidRDefault="00BC406B" w:rsidP="00BC406B">
      <w:r>
        <w:t>Wanneer afdeling 3.4 Awb wordt toegepast, moet dat als volgt. De gemeente, provincie,</w:t>
      </w:r>
      <w:r w:rsidRPr="00C53712">
        <w:t xml:space="preserve"> waterschap</w:t>
      </w:r>
      <w:r>
        <w:t xml:space="preserve"> respectievelijk minister moet </w:t>
      </w:r>
      <w:r w:rsidRPr="000D6DD4">
        <w:t>het ontwerp van het te nemen besluit, met de daarop betrekking hebbende stukken die redelijkerwijs nodig zijn voor een beoordeling van het ontwerp, ter inzage</w:t>
      </w:r>
      <w:r>
        <w:t xml:space="preserve"> leggen</w:t>
      </w:r>
      <w:r>
        <w:rPr>
          <w:rStyle w:val="Voetnootmarkering"/>
        </w:rPr>
        <w:footnoteReference w:id="11"/>
      </w:r>
      <w:r>
        <w:t>. Daaraan v</w:t>
      </w:r>
      <w:r w:rsidRPr="007F5A8E">
        <w:t xml:space="preserve">oorafgaand geeft </w:t>
      </w:r>
      <w:r>
        <w:t>het bevoegd gezag</w:t>
      </w:r>
      <w:r w:rsidRPr="007F5A8E">
        <w:t xml:space="preserve"> kennis van het ontwerp</w:t>
      </w:r>
      <w:r>
        <w:rPr>
          <w:rStyle w:val="Voetnootmarkering"/>
        </w:rPr>
        <w:footnoteReference w:id="12"/>
      </w:r>
      <w:r>
        <w:t xml:space="preserve"> </w:t>
      </w:r>
      <w:r w:rsidRPr="00676BBD">
        <w:t xml:space="preserve">in </w:t>
      </w:r>
      <w:r w:rsidRPr="008A3A16">
        <w:t xml:space="preserve">het gemeenteblad, </w:t>
      </w:r>
      <w:r>
        <w:t xml:space="preserve">het waterschapsblad, </w:t>
      </w:r>
      <w:r w:rsidRPr="008A3A16">
        <w:t xml:space="preserve">het provinciaal blad dan wel de </w:t>
      </w:r>
      <w:r w:rsidRPr="008A3A16">
        <w:lastRenderedPageBreak/>
        <w:t>Staatscourant</w:t>
      </w:r>
      <w:r>
        <w:rPr>
          <w:rStyle w:val="Voetnootmarkering"/>
        </w:rPr>
        <w:footnoteReference w:id="13"/>
      </w:r>
      <w:r w:rsidRPr="007F5A8E">
        <w:t xml:space="preserve">. </w:t>
      </w:r>
      <w:r>
        <w:t xml:space="preserve">Zienswijzen over het ontwerp kunnen </w:t>
      </w:r>
      <w:r w:rsidRPr="00730C98">
        <w:t>naar voren worden gebracht door eenieder</w:t>
      </w:r>
      <w:r>
        <w:rPr>
          <w:rStyle w:val="Voetnootmarkering"/>
        </w:rPr>
        <w:footnoteReference w:id="14"/>
      </w:r>
      <w:r>
        <w:t xml:space="preserve">. De termijn daarvoor bedraagt </w:t>
      </w:r>
      <w:r w:rsidRPr="00090C8F">
        <w:t>zes weken</w:t>
      </w:r>
      <w:r>
        <w:rPr>
          <w:rStyle w:val="Voetnootmarkering"/>
        </w:rPr>
        <w:footnoteReference w:id="15"/>
      </w:r>
      <w:r>
        <w:t xml:space="preserve">. De terinzagelegging geschiedt zowel op elektronische wijze als op een door de </w:t>
      </w:r>
      <w:r w:rsidRPr="00316935">
        <w:t xml:space="preserve">gemeente, </w:t>
      </w:r>
      <w:r>
        <w:t xml:space="preserve">waterschap, </w:t>
      </w:r>
      <w:r w:rsidRPr="00316935">
        <w:t>provincie respectievelijk minister</w:t>
      </w:r>
      <w:r>
        <w:t xml:space="preserve"> aan te wijzen locatie</w:t>
      </w:r>
      <w:r>
        <w:rPr>
          <w:rStyle w:val="Voetnootmarkering"/>
        </w:rPr>
        <w:footnoteReference w:id="16"/>
      </w:r>
      <w:r>
        <w:t xml:space="preserve">. </w:t>
      </w:r>
      <w:r w:rsidRPr="00D84553">
        <w:t>Met de publicatie van de volledige inhoud van het ontwerpbesluit</w:t>
      </w:r>
      <w:r w:rsidRPr="004B51E7">
        <w:t xml:space="preserve"> </w:t>
      </w:r>
      <w:r w:rsidRPr="00B71EF0">
        <w:t xml:space="preserve">in </w:t>
      </w:r>
      <w:r w:rsidRPr="00E06FDC">
        <w:t>gemeenteblad, provinciaal blad</w:t>
      </w:r>
      <w:r>
        <w:t>, waterschapsblad</w:t>
      </w:r>
      <w:r w:rsidRPr="00E06FDC">
        <w:t xml:space="preserve"> respectievelijk Staatscourant </w:t>
      </w:r>
      <w:r w:rsidRPr="00B71EF0">
        <w:t>en het</w:t>
      </w:r>
      <w:r>
        <w:t>, zowel op overheid.nl als in DSO-LV,</w:t>
      </w:r>
      <w:r w:rsidRPr="00B71EF0">
        <w:t xml:space="preserve"> kunnen raadplegen van de </w:t>
      </w:r>
      <w:r>
        <w:t xml:space="preserve">proefversie </w:t>
      </w:r>
      <w:r w:rsidRPr="000B2872">
        <w:t xml:space="preserve">van </w:t>
      </w:r>
      <w:r>
        <w:t>het initiële programma</w:t>
      </w:r>
      <w:r w:rsidRPr="000B2872">
        <w:t xml:space="preserve"> </w:t>
      </w:r>
      <w:r>
        <w:t xml:space="preserve">of </w:t>
      </w:r>
      <w:r w:rsidRPr="00B71EF0">
        <w:t xml:space="preserve">van de regeling van </w:t>
      </w:r>
      <w:r>
        <w:t>het programma</w:t>
      </w:r>
      <w:r w:rsidRPr="00B71EF0">
        <w:t xml:space="preserve"> waarin het ontwerp</w:t>
      </w:r>
      <w:r>
        <w:t>-wijzigings</w:t>
      </w:r>
      <w:r w:rsidRPr="00B71EF0">
        <w:t xml:space="preserve">besluit is geconsolideerd, wordt </w:t>
      </w:r>
      <w:r>
        <w:t>invulling gegeven aan de</w:t>
      </w:r>
      <w:r w:rsidRPr="00B71EF0">
        <w:t xml:space="preserve"> terinzagelegging</w:t>
      </w:r>
      <w:r>
        <w:t xml:space="preserve"> </w:t>
      </w:r>
      <w:r w:rsidRPr="002E076A">
        <w:t>op elektronische wijze</w:t>
      </w:r>
      <w:r>
        <w:t>. De terinzagelegging op een door gemeente, provincie, waterschap of minister te bepalen locatie kan worden georganiseerd door op een in de kennisgeving aangegeven locatie, zoals het gemeentehuis, het provinciehuis of het kantoor van het waterschap, de mogelijkheid te bieden om op een beeldscherm het ontwerpbesluit in het betreffende publicatieblad of in DSO-LV te raadplegen.</w:t>
      </w:r>
    </w:p>
    <w:p w14:paraId="6A411B4D" w14:textId="03480EE7" w:rsidR="002650B8" w:rsidRPr="00097730" w:rsidRDefault="00BC406B" w:rsidP="00BC406B">
      <w:r>
        <w:t xml:space="preserve">Om aan bovenstaande verplichtingen te voldoen moeten het ontwerpbesluit en de kennisgeving, met bijbehorende informatie, aan de LVBB worden aangeleverd. De aanlevering van het ontwerpbesluit is beschreven in paragraaf </w:t>
      </w:r>
      <w:r w:rsidRPr="009B6A2D">
        <w:rPr>
          <w:rStyle w:val="Verwijzing"/>
        </w:rPr>
        <w:fldChar w:fldCharType="begin"/>
      </w:r>
      <w:r w:rsidRPr="009B6A2D">
        <w:rPr>
          <w:rStyle w:val="Verwijzing"/>
        </w:rPr>
        <w:instrText xml:space="preserve"> REF _Ref_dd78f0576b925179d887906d28a2347e_2 \n \h </w:instrText>
      </w:r>
      <w:r w:rsidRPr="009B6A2D">
        <w:rPr>
          <w:rStyle w:val="Verwijzing"/>
        </w:rPr>
      </w:r>
      <w:r w:rsidRPr="009B6A2D">
        <w:rPr>
          <w:rStyle w:val="Verwijzing"/>
        </w:rPr>
        <w:fldChar w:fldCharType="separate"/>
      </w:r>
      <w:r w:rsidR="002650B8">
        <w:rPr>
          <w:rStyle w:val="Verwijzing"/>
        </w:rPr>
        <w:t>9.5.2.2</w:t>
      </w:r>
      <w:r w:rsidRPr="009B6A2D">
        <w:rPr>
          <w:rStyle w:val="Verwijzing"/>
        </w:rPr>
        <w:fldChar w:fldCharType="end"/>
      </w:r>
      <w:r>
        <w:t xml:space="preserve">; de aanlevering van de kennisgeving in paragraaf </w:t>
      </w:r>
      <w:r w:rsidRPr="009B6A2D">
        <w:rPr>
          <w:rStyle w:val="Verwijzing"/>
        </w:rPr>
        <w:fldChar w:fldCharType="begin"/>
      </w:r>
      <w:r w:rsidRPr="009B6A2D">
        <w:rPr>
          <w:rStyle w:val="Verwijzing"/>
        </w:rPr>
        <w:instrText xml:space="preserve"> REF _Ref_0607130c28da0980a8621a94049f5ea6_1 \n \h </w:instrText>
      </w:r>
      <w:r w:rsidRPr="009B6A2D">
        <w:rPr>
          <w:rStyle w:val="Verwijzing"/>
        </w:rPr>
      </w:r>
      <w:r w:rsidRPr="009B6A2D">
        <w:rPr>
          <w:rStyle w:val="Verwijzing"/>
        </w:rPr>
        <w:fldChar w:fldCharType="separate"/>
      </w:r>
      <w:r w:rsidR="002650B8">
        <w:rPr>
          <w:rStyle w:val="Verwijzing"/>
        </w:rPr>
        <w:t>9.5.2.3</w:t>
      </w:r>
      <w:r w:rsidRPr="009B6A2D">
        <w:rPr>
          <w:rStyle w:val="Verwijzing"/>
        </w:rPr>
        <w:fldChar w:fldCharType="end"/>
      </w:r>
      <w:r>
        <w:t>.</w:t>
      </w:r>
      <w:bookmarkStart w:id="319" w:name="_Ref_dd78f0576b925179d887906d28a2347e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