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0054D" w14:textId="77777777" w:rsidR="00E33EDD" w:rsidRPr="00F62F31" w:rsidRDefault="00E33EDD" w:rsidP="00E33EDD">
      <w:pPr>
        <w:pStyle w:val="Kop3"/>
      </w:pPr>
      <w:bookmarkStart w:id="12" w:name="_Ref_cabca02fb66400d401cbbda19352b946_1"/>
      <w:r w:rsidRPr="00F62F31">
        <w:t>Kenschets rechtsfiguur</w:t>
      </w:r>
      <w:bookmarkEnd w:id="12"/>
    </w:p>
    <w:p w14:paraId="6FF8108B" w14:textId="77777777" w:rsidR="00E33EDD" w:rsidRPr="00F62F31" w:rsidRDefault="00E33EDD" w:rsidP="00E33EDD">
      <w:r w:rsidRPr="00F62F31">
        <w:t xml:space="preserve">Rijk, provincies, waterschappen en gemeenten stellen elk (integraal) beleid en regels vast </w:t>
      </w:r>
      <w:r w:rsidR="00426FFC" w:rsidRPr="00CA0DEB">
        <w:t xml:space="preserve">en nemen vervolgens </w:t>
      </w:r>
      <w:r w:rsidR="004A7D8A" w:rsidRPr="00CA0DEB">
        <w:t>andere</w:t>
      </w:r>
      <w:r w:rsidR="00426FFC" w:rsidRPr="00CA0DEB">
        <w:t xml:space="preserve"> besluiten</w:t>
      </w:r>
      <w:r w:rsidR="00426FFC">
        <w:t xml:space="preserve"> </w:t>
      </w:r>
      <w:r w:rsidRPr="00F62F31">
        <w:t>over de ontwikkeling, het gebruik, de bescherming en het beheer en onderhoud van de fysieke leefomgeving voor hun grondgebied. Zij leggen dit vast in één of meerdere</w:t>
      </w:r>
      <w:r w:rsidR="00F452CD">
        <w:t xml:space="preserve"> omgevingsdocumenten</w:t>
      </w:r>
      <w:r w:rsidRPr="00F62F31">
        <w:t>.</w:t>
      </w:r>
    </w:p>
    <w:p w14:paraId="1A9F9FD5" w14:textId="5CC37A5E" w:rsidR="00E33EDD" w:rsidRPr="00F62F31" w:rsidRDefault="00E33EDD" w:rsidP="00E33EDD">
      <w:r w:rsidRPr="00F62F31">
        <w:t xml:space="preserve">Elk van deze </w:t>
      </w:r>
      <w:r w:rsidR="009C67E9" w:rsidRPr="009C67E9">
        <w:t>bestuurslagen</w:t>
      </w:r>
      <w:r w:rsidR="009C67E9" w:rsidRPr="009C67E9" w:rsidDel="009C67E9">
        <w:t xml:space="preserve"> </w:t>
      </w:r>
      <w:r w:rsidRPr="00F62F31">
        <w:t>heeft in het stelsel voor het omgevingsrecht zijn eigen bevoegdheden en verantwoordelijkheden en daarmee samenhangende instrumenten, waaronder de</w:t>
      </w:r>
      <w:r w:rsidR="00F452CD">
        <w:t xml:space="preserve"> omgevingsdocumenten</w:t>
      </w:r>
      <w:r w:rsidRPr="00F62F31">
        <w:t>.</w:t>
      </w:r>
    </w:p>
    <w:p w14:paraId="78C36141" w14:textId="77777777" w:rsidR="00E33EDD" w:rsidRPr="00F62F31" w:rsidRDefault="00E33EDD" w:rsidP="00E33EDD"/>
    <w:p w14:paraId="2C9F4831" w14:textId="47E5D5E2" w:rsidR="00E33EDD" w:rsidRPr="00F62F31" w:rsidRDefault="00F23167" w:rsidP="00E33EDD">
      <w:r w:rsidRPr="00F23167">
        <w:t xml:space="preserve">De Omgevingswet geeft gedeputeerde staten (verder: GS) de bevoegdheid om te besluiten dat een onderdeel van een besluit van een gemeente tot vaststelling of wijziging van een omgevingsplan geen deel van </w:t>
      </w:r>
      <w:r w:rsidR="00C6450F">
        <w:t>het omgevingsplan</w:t>
      </w:r>
      <w:r w:rsidRPr="00F23167">
        <w:t xml:space="preserve"> uitmaakt. Dit besluit van GS wordt reactieve interventie genoemd. In de wet is vastgelegd in welke gevallen en onder welke omstandigheden GS van deze bevoegdheid gebruik kunnen maken. Voorafgaand aan het nemen van dit besluit moeten GS met B&amp;W c.q. gemeenteraad van de betreffende gemeente overleg voeren.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