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53CB" w14:textId="0DB2A23B" w:rsidR="00E33EDD" w:rsidRPr="00F62F31" w:rsidRDefault="00E33EDD" w:rsidP="00E33EDD">
      <w:pPr>
        <w:pStyle w:val="Kop3"/>
      </w:pPr>
      <w:bookmarkStart w:id="15" w:name="_Ref_f91cf7daa29e73aad6fd6d95f9240cc8_1"/>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3E597C">
        <w:t>reactieve interventie</w:t>
      </w:r>
      <w:r w:rsidRPr="00F62F31">
        <w:fldChar w:fldCharType="end"/>
      </w:r>
      <w:bookmarkEnd w:id="15"/>
    </w:p>
    <w:p w14:paraId="49188456" w14:textId="57A8C77A" w:rsidR="00E33EDD" w:rsidRPr="00F62F31" w:rsidRDefault="00E33EDD" w:rsidP="00E33EDD">
      <w:r w:rsidRPr="00F62F31">
        <w:t xml:space="preserve">In </w:t>
      </w:r>
      <w:r w:rsidRPr="00557092">
        <w:rPr>
          <w:rStyle w:val="Verwijzing"/>
        </w:rPr>
        <w:fldChar w:fldCharType="begin"/>
      </w:r>
      <w:r w:rsidRPr="00557092">
        <w:rPr>
          <w:rStyle w:val="Verwijzing"/>
        </w:rPr>
        <w:instrText xml:space="preserve"> REF _Ref_f91cf7daa29e73aad6fd6d95f9240cc8_2</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E21A2D">
        <w:rPr>
          <w:rStyle w:val="Verwijzing"/>
        </w:rPr>
        <w:t>Tabel 1</w:t>
      </w:r>
      <w:r w:rsidRPr="00557092">
        <w:rPr>
          <w:rStyle w:val="Verwijzing"/>
        </w:rPr>
        <w:fldChar w:fldCharType="end"/>
      </w:r>
      <w:r w:rsidRPr="00F62F31">
        <w:t xml:space="preserve"> tot en met </w:t>
      </w:r>
      <w:r w:rsidRPr="00557092">
        <w:rPr>
          <w:rStyle w:val="Verwijzing"/>
        </w:rPr>
        <w:fldChar w:fldCharType="begin"/>
      </w:r>
      <w:r w:rsidRPr="00557092">
        <w:rPr>
          <w:rStyle w:val="Verwijzing"/>
        </w:rPr>
        <w:instrText xml:space="preserve"> REF _Ref_f91cf7daa29e73aad6fd6d95f9240cc8_3</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E21A2D">
        <w:rPr>
          <w:rStyle w:val="Verwijzing"/>
        </w:rPr>
        <w:t>Tabel 3</w:t>
      </w:r>
      <w:r w:rsidRPr="00557092">
        <w:rPr>
          <w:rStyle w:val="Verwijzing"/>
        </w:rPr>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E597C">
        <w:rPr>
          <w:noProof/>
        </w:rPr>
        <w:t>de reactieve interventie</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E597C">
        <w:rPr>
          <w:noProof/>
        </w:rPr>
        <w:t>de reactieve interventie</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435B89">
        <w:t>,</w:t>
      </w:r>
      <w:r w:rsidR="002D6DC4">
        <w:t xml:space="preserve"> </w:t>
      </w:r>
      <w:r w:rsidR="00435B89">
        <w:t>n</w:t>
      </w:r>
      <w:r w:rsidRPr="00F62F31">
        <w:t>iet om een volledig sluitende beschrijving te geven.</w:t>
      </w:r>
      <w:r w:rsidR="006A7F74">
        <w:t xml:space="preserve"> </w:t>
      </w:r>
      <w:r w:rsidR="006A7F74" w:rsidRPr="006A7F74">
        <w:t>De in de tabellen aangehaalde artikelen zijn afkomstig uit de Omgevingswet (verder: Ow), tenzij anders vermeld.</w:t>
      </w:r>
    </w:p>
    <w:p w14:paraId="4C99BF2B" w14:textId="77777777" w:rsidR="00E33EDD" w:rsidRPr="00F62F31" w:rsidRDefault="00E33EDD" w:rsidP="00E33EDD">
      <w:pPr>
        <w:pStyle w:val="Tabeltitel"/>
      </w:pPr>
      <w:bookmarkStart w:id="16" w:name="_Ref_f91cf7daa29e73aad6fd6d95f9240cc8_2"/>
      <w:r w:rsidRPr="00F62F31">
        <w:t>Juridische kenmerken</w:t>
      </w:r>
      <w:bookmarkEnd w:id="16"/>
    </w:p>
    <w:tbl>
      <w:tblPr>
        <w:tblStyle w:val="Tabel"/>
        <w:tblW w:w="5000" w:type="pct"/>
        <w:tblLayout w:type="fixed"/>
        <w:tblLook w:val="0620" w:firstRow="1" w:lastRow="0" w:firstColumn="0" w:lastColumn="0" w:noHBand="1" w:noVBand="1"/>
      </w:tblPr>
      <w:tblGrid>
        <w:gridCol w:w="2973"/>
        <w:gridCol w:w="5521"/>
      </w:tblGrid>
      <w:tr w:rsidR="00E33EDD" w:rsidRPr="00F62F31" w14:paraId="43DFFF21"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4147ABFD" w14:textId="77777777" w:rsidR="00E33EDD" w:rsidRPr="00F62F31" w:rsidRDefault="00E33EDD" w:rsidP="00B51A4D">
            <w:r w:rsidRPr="00F62F31">
              <w:t>Onderwerp</w:t>
            </w:r>
          </w:p>
        </w:tc>
        <w:tc>
          <w:tcPr>
            <w:tcW w:w="3250" w:type="pct"/>
          </w:tcPr>
          <w:p w14:paraId="759DDACE" w14:textId="77777777" w:rsidR="00E33EDD" w:rsidRPr="00F62F31" w:rsidRDefault="00E33EDD" w:rsidP="00B51A4D">
            <w:r w:rsidRPr="00F62F31">
              <w:t>Specificatie</w:t>
            </w:r>
          </w:p>
        </w:tc>
      </w:tr>
      <w:tr w:rsidR="00E33EDD" w:rsidRPr="00F62F31" w14:paraId="25DC8057" w14:textId="77777777" w:rsidTr="00BD091D">
        <w:tc>
          <w:tcPr>
            <w:tcW w:w="1750" w:type="pct"/>
          </w:tcPr>
          <w:p w14:paraId="034B7D38" w14:textId="77777777" w:rsidR="00E33EDD" w:rsidRPr="00F62F31" w:rsidRDefault="00E33EDD" w:rsidP="00B51A4D">
            <w:pPr>
              <w:rPr>
                <w:color w:val="000000" w:themeColor="text1"/>
              </w:rPr>
            </w:pPr>
            <w:r w:rsidRPr="00F62F31">
              <w:rPr>
                <w:color w:val="000000" w:themeColor="text1"/>
              </w:rPr>
              <w:t>Grondslag rechtsfiguur</w:t>
            </w:r>
          </w:p>
        </w:tc>
        <w:tc>
          <w:tcPr>
            <w:tcW w:w="3250" w:type="pct"/>
          </w:tcPr>
          <w:p w14:paraId="020F73DC" w14:textId="5B10EACC" w:rsidR="00E33EDD" w:rsidRPr="00F62F31" w:rsidRDefault="008D0C85" w:rsidP="00B51A4D">
            <w:pPr>
              <w:rPr>
                <w:color w:val="000000" w:themeColor="text1"/>
                <w:szCs w:val="18"/>
              </w:rPr>
            </w:pPr>
            <w:r w:rsidRPr="008D0C85">
              <w:rPr>
                <w:color w:val="000000" w:themeColor="text1"/>
                <w:szCs w:val="18"/>
              </w:rPr>
              <w:t>Artikel 16.21</w:t>
            </w:r>
            <w:r>
              <w:rPr>
                <w:color w:val="000000" w:themeColor="text1"/>
                <w:szCs w:val="18"/>
              </w:rPr>
              <w:t xml:space="preserve"> </w:t>
            </w:r>
            <w:r w:rsidR="00E33EDD" w:rsidRPr="00F62F31">
              <w:rPr>
                <w:color w:val="000000" w:themeColor="text1"/>
                <w:szCs w:val="18"/>
              </w:rPr>
              <w:t>O</w:t>
            </w:r>
            <w:r w:rsidR="006A7F74">
              <w:rPr>
                <w:color w:val="000000" w:themeColor="text1"/>
                <w:szCs w:val="18"/>
              </w:rPr>
              <w:t>w</w:t>
            </w:r>
          </w:p>
        </w:tc>
      </w:tr>
      <w:tr w:rsidR="00E33EDD" w:rsidRPr="00F62F31" w14:paraId="19EF4BF8" w14:textId="77777777" w:rsidTr="00BD091D">
        <w:tc>
          <w:tcPr>
            <w:tcW w:w="1750" w:type="pct"/>
          </w:tcPr>
          <w:p w14:paraId="173443AC" w14:textId="77777777" w:rsidR="00E33EDD" w:rsidRPr="00F62F31" w:rsidRDefault="00E33EDD" w:rsidP="00B51A4D">
            <w:pPr>
              <w:rPr>
                <w:color w:val="000000" w:themeColor="text1"/>
              </w:rPr>
            </w:pPr>
            <w:r w:rsidRPr="00F62F31">
              <w:rPr>
                <w:color w:val="000000" w:themeColor="text1"/>
              </w:rPr>
              <w:lastRenderedPageBreak/>
              <w:t>Voorbereidingsprocedure</w:t>
            </w:r>
          </w:p>
        </w:tc>
        <w:tc>
          <w:tcPr>
            <w:tcW w:w="3250" w:type="pct"/>
          </w:tcPr>
          <w:p w14:paraId="10B972D6" w14:textId="77777777" w:rsidR="00D34F8F" w:rsidRDefault="00D34F8F" w:rsidP="00D34F8F">
            <w:r>
              <w:t>Verplichtingen:</w:t>
            </w:r>
          </w:p>
          <w:p w14:paraId="357731D5" w14:textId="77777777" w:rsidR="00D34F8F" w:rsidRDefault="00D34F8F" w:rsidP="00D34F8F">
            <w:pPr>
              <w:pStyle w:val="Opsommingtekens1"/>
            </w:pPr>
            <w:r>
              <w:t>Verplichting voor B&amp;W c.q. gemeenteraad om in bepaalde gevallen besluit tot vaststelling omgevingsplan onverwijld aan GS te zenden (art. 10.3 lid 1 Omgevingsbesluit)</w:t>
            </w:r>
          </w:p>
          <w:p w14:paraId="38BF8884" w14:textId="77777777" w:rsidR="00D34F8F" w:rsidRDefault="00D34F8F" w:rsidP="00D34F8F">
            <w:pPr>
              <w:pStyle w:val="Opsommingtekens1"/>
            </w:pPr>
            <w:r>
              <w:t>Verplichting voor GS om voorafgaand aan reactieve interventie met B&amp;W c.q. gemeenteraad overleg te voeren (art. 10.3 lid 2 Omgevingsbesluit)</w:t>
            </w:r>
          </w:p>
          <w:p w14:paraId="13936DFD" w14:textId="26E500BA" w:rsidR="00E33EDD" w:rsidRPr="00F62F31" w:rsidRDefault="00D34F8F" w:rsidP="00D34F8F">
            <w:r>
              <w:t>Geen toepassing afdeling 3.4 Awb</w:t>
            </w:r>
          </w:p>
        </w:tc>
      </w:tr>
      <w:tr w:rsidR="00E33EDD" w:rsidRPr="00F62F31" w14:paraId="4A7ABA61" w14:textId="77777777" w:rsidTr="00BD091D">
        <w:tc>
          <w:tcPr>
            <w:tcW w:w="1750" w:type="pct"/>
          </w:tcPr>
          <w:p w14:paraId="5FE1781D" w14:textId="28B84058" w:rsidR="00E33EDD" w:rsidRPr="00F62F31" w:rsidRDefault="00E33EDD" w:rsidP="00B51A4D">
            <w:pPr>
              <w:rPr>
                <w:color w:val="000000" w:themeColor="text1"/>
              </w:rPr>
            </w:pPr>
            <w:r w:rsidRPr="00F62F31">
              <w:t>Tijdstip bekendmaking</w:t>
            </w:r>
          </w:p>
        </w:tc>
        <w:tc>
          <w:tcPr>
            <w:tcW w:w="3250" w:type="pct"/>
          </w:tcPr>
          <w:p w14:paraId="2D26F466" w14:textId="3CCAD7BE" w:rsidR="00E33EDD" w:rsidRPr="00F62F31" w:rsidRDefault="00CB47FF" w:rsidP="00CE7FAF">
            <w:r w:rsidRPr="00CB47FF">
              <w:t>Binnen vier weken nadat het besluit tot vaststelling of wijziging van het omgevingsplan is bekendgemaakt (artikel 16.21 lid 4 Ow)</w:t>
            </w:r>
          </w:p>
        </w:tc>
      </w:tr>
      <w:tr w:rsidR="00F13713" w:rsidRPr="00F62F31" w14:paraId="3AD335CC" w14:textId="77777777" w:rsidTr="00BD091D">
        <w:tc>
          <w:tcPr>
            <w:tcW w:w="1750" w:type="pct"/>
          </w:tcPr>
          <w:p w14:paraId="35729534" w14:textId="3D885CE0" w:rsidR="00F13713" w:rsidRPr="00F62F31" w:rsidRDefault="00F13713" w:rsidP="00B51A4D">
            <w:r>
              <w:t>Wijze van bekendmaking</w:t>
            </w:r>
          </w:p>
        </w:tc>
        <w:tc>
          <w:tcPr>
            <w:tcW w:w="3250" w:type="pct"/>
          </w:tcPr>
          <w:p w14:paraId="07D2BE17" w14:textId="4BD0B4E8" w:rsidR="00F13713" w:rsidRPr="00CB47FF" w:rsidRDefault="00865B6D" w:rsidP="00CE7FAF">
            <w:r>
              <w:t>Bekendmaking</w:t>
            </w:r>
            <w:r w:rsidRPr="00F13713">
              <w:t xml:space="preserve"> </w:t>
            </w:r>
            <w:r w:rsidR="00F13713" w:rsidRPr="00F13713">
              <w:t xml:space="preserve">door plaatsing van het volledige besluit in het elektronisch publicatieblad van het bestuursorgaan dat de </w:t>
            </w:r>
            <w:r w:rsidR="001E6094">
              <w:t>reactieve interventie</w:t>
            </w:r>
            <w:r w:rsidR="00F13713" w:rsidRPr="00F13713">
              <w:t xml:space="preserve"> heeft gegeven</w:t>
            </w:r>
          </w:p>
        </w:tc>
      </w:tr>
      <w:tr w:rsidR="00E33EDD" w:rsidRPr="00F62F31" w14:paraId="39DA2AD1" w14:textId="77777777" w:rsidTr="00BD091D">
        <w:tc>
          <w:tcPr>
            <w:tcW w:w="1750" w:type="pct"/>
          </w:tcPr>
          <w:p w14:paraId="614D0675" w14:textId="08E74E3F" w:rsidR="00E33EDD" w:rsidRPr="00F62F31" w:rsidRDefault="00502DDC" w:rsidP="00B51A4D">
            <w:r>
              <w:t>Tijdstip i</w:t>
            </w:r>
            <w:r w:rsidR="00E33EDD" w:rsidRPr="00F62F31">
              <w:t>nwerkingtreding</w:t>
            </w:r>
          </w:p>
        </w:tc>
        <w:tc>
          <w:tcPr>
            <w:tcW w:w="3250" w:type="pct"/>
          </w:tcPr>
          <w:p w14:paraId="39ECB436" w14:textId="0501615A" w:rsidR="00E33EDD" w:rsidRPr="000726CD" w:rsidRDefault="00664388" w:rsidP="000726CD">
            <w:pPr>
              <w:rPr>
                <w:szCs w:val="18"/>
              </w:rPr>
            </w:pPr>
            <w:r>
              <w:rPr>
                <w:szCs w:val="18"/>
              </w:rPr>
              <w:t xml:space="preserve">De </w:t>
            </w:r>
            <w:r w:rsidR="001E4D31">
              <w:rPr>
                <w:szCs w:val="18"/>
              </w:rPr>
              <w:t xml:space="preserve">reactieve interventie treedt </w:t>
            </w:r>
            <w:r w:rsidR="001E0452" w:rsidRPr="001E0452">
              <w:rPr>
                <w:szCs w:val="18"/>
              </w:rPr>
              <w:t xml:space="preserve">tegelijk </w:t>
            </w:r>
            <w:r w:rsidR="001E4D31">
              <w:rPr>
                <w:szCs w:val="18"/>
              </w:rPr>
              <w:t xml:space="preserve">in werking </w:t>
            </w:r>
            <w:r w:rsidR="00F10222" w:rsidRPr="00F10222">
              <w:rPr>
                <w:szCs w:val="18"/>
              </w:rPr>
              <w:t>met het omgevingsplan</w:t>
            </w:r>
            <w:r w:rsidR="001E4D31">
              <w:rPr>
                <w:szCs w:val="18"/>
              </w:rPr>
              <w:t xml:space="preserve"> waarop het betrekking heeft </w:t>
            </w:r>
            <w:r w:rsidR="00F10222" w:rsidRPr="00F10222">
              <w:rPr>
                <w:szCs w:val="18"/>
              </w:rPr>
              <w:t>(artikel 16.78 lid 2 Ow)</w:t>
            </w:r>
            <w:r w:rsidR="00737AE1">
              <w:rPr>
                <w:szCs w:val="18"/>
              </w:rPr>
              <w:t>. Dat is</w:t>
            </w:r>
            <w:r w:rsidR="0017483E" w:rsidRPr="0017483E">
              <w:rPr>
                <w:szCs w:val="18"/>
              </w:rPr>
              <w:t xml:space="preserve"> 4 weken na de dag van bekendmaking van het besluit tot wijziging van het omgevingsplan, tenzij in omgevingsplan later tijdstip is bepaald</w:t>
            </w:r>
          </w:p>
        </w:tc>
      </w:tr>
      <w:tr w:rsidR="00E33EDD" w:rsidRPr="00F62F31" w14:paraId="425E071A" w14:textId="77777777" w:rsidTr="00BD091D">
        <w:tc>
          <w:tcPr>
            <w:tcW w:w="1750" w:type="pct"/>
          </w:tcPr>
          <w:p w14:paraId="01A95B09" w14:textId="77777777" w:rsidR="00E33EDD" w:rsidRPr="00F62F31" w:rsidRDefault="00E33EDD" w:rsidP="00B51A4D">
            <w:r w:rsidRPr="00F62F31">
              <w:t>Rechtsbescherming</w:t>
            </w:r>
          </w:p>
        </w:tc>
        <w:tc>
          <w:tcPr>
            <w:tcW w:w="3250" w:type="pct"/>
          </w:tcPr>
          <w:p w14:paraId="59162A35" w14:textId="38D844CF" w:rsidR="00E33EDD" w:rsidRPr="00F62F31" w:rsidRDefault="00BB59F0" w:rsidP="00B51A4D">
            <w:pPr>
              <w:rPr>
                <w:szCs w:val="18"/>
              </w:rPr>
            </w:pPr>
            <w:r w:rsidRPr="00BB59F0">
              <w:rPr>
                <w:szCs w:val="18"/>
              </w:rPr>
              <w:t>Beroep bij de Afdeling bestuursrechtspraak van de Raad van State</w:t>
            </w:r>
            <w:r w:rsidR="00CE56B4">
              <w:rPr>
                <w:rStyle w:val="Voetnootmarkering"/>
                <w:szCs w:val="18"/>
              </w:rPr>
              <w:footnoteReference w:id="3"/>
            </w:r>
            <w:r w:rsidRPr="00BB59F0">
              <w:rPr>
                <w:szCs w:val="18"/>
              </w:rPr>
              <w:t xml:space="preserve"> </w:t>
            </w:r>
          </w:p>
        </w:tc>
      </w:tr>
      <w:tr w:rsidR="00E33EDD" w:rsidRPr="00F62F31" w14:paraId="6742761E" w14:textId="77777777" w:rsidTr="00BD091D">
        <w:tc>
          <w:tcPr>
            <w:tcW w:w="1750" w:type="pct"/>
          </w:tcPr>
          <w:p w14:paraId="2C433934" w14:textId="77777777" w:rsidR="00E33EDD" w:rsidRPr="00F62F31" w:rsidRDefault="00E33EDD" w:rsidP="00E01E6A">
            <w:r w:rsidRPr="00F62F31">
              <w:t>Geldt toepassingsprofiel ook voor ontwerpbesluit</w:t>
            </w:r>
          </w:p>
        </w:tc>
        <w:tc>
          <w:tcPr>
            <w:tcW w:w="3250" w:type="pct"/>
          </w:tcPr>
          <w:p w14:paraId="29F641AE" w14:textId="2B527656" w:rsidR="00E33EDD" w:rsidRPr="00F62F31" w:rsidRDefault="00ED5E22" w:rsidP="00B51A4D">
            <w:pPr>
              <w:rPr>
                <w:szCs w:val="18"/>
              </w:rPr>
            </w:pPr>
            <w:r w:rsidRPr="00ED5E22">
              <w:rPr>
                <w:szCs w:val="18"/>
              </w:rPr>
              <w:t>N.v.t. (ontwerpbesluit is bij reactieve interventie niet aan de orde)</w:t>
            </w:r>
          </w:p>
        </w:tc>
      </w:tr>
      <w:tr w:rsidR="00E33EDD" w:rsidRPr="00F62F31" w14:paraId="4DBFBFFE" w14:textId="77777777" w:rsidTr="00BD091D">
        <w:tc>
          <w:tcPr>
            <w:tcW w:w="1750" w:type="pct"/>
          </w:tcPr>
          <w:p w14:paraId="7BBA48CB" w14:textId="4EEDC397" w:rsidR="00E33EDD" w:rsidRPr="00F62F31" w:rsidRDefault="00E33EDD" w:rsidP="00B51A4D">
            <w:r w:rsidRPr="00F62F31">
              <w:t xml:space="preserve">Rechtsfiguur roept meldingsplicht of vergunningplicht in het leven </w:t>
            </w:r>
          </w:p>
        </w:tc>
        <w:tc>
          <w:tcPr>
            <w:tcW w:w="3250" w:type="pct"/>
          </w:tcPr>
          <w:p w14:paraId="3487832A" w14:textId="0015D2A0" w:rsidR="00E33EDD" w:rsidRPr="00F62F31" w:rsidRDefault="00ED5E22" w:rsidP="00B51A4D">
            <w:pPr>
              <w:rPr>
                <w:szCs w:val="18"/>
              </w:rPr>
            </w:pPr>
            <w:r>
              <w:rPr>
                <w:szCs w:val="18"/>
              </w:rPr>
              <w:t>Nee</w:t>
            </w:r>
          </w:p>
        </w:tc>
      </w:tr>
      <w:tr w:rsidR="00E33EDD" w:rsidRPr="00F62F31" w14:paraId="05FABAA3" w14:textId="77777777" w:rsidTr="00BD091D">
        <w:tc>
          <w:tcPr>
            <w:tcW w:w="1750" w:type="pct"/>
          </w:tcPr>
          <w:p w14:paraId="50355607" w14:textId="77777777" w:rsidR="00E33EDD" w:rsidRPr="00F62F31" w:rsidRDefault="00E33EDD" w:rsidP="00B51A4D">
            <w:r w:rsidRPr="00F62F31">
              <w:t xml:space="preserve">Rechtsfiguur bevat voor </w:t>
            </w:r>
            <w:r w:rsidR="005F4EBF" w:rsidRPr="00F62F31">
              <w:t>eenieder</w:t>
            </w:r>
            <w:r w:rsidRPr="00F62F31">
              <w:t xml:space="preserve"> bindende regels</w:t>
            </w:r>
          </w:p>
        </w:tc>
        <w:tc>
          <w:tcPr>
            <w:tcW w:w="3250" w:type="pct"/>
          </w:tcPr>
          <w:p w14:paraId="293233D2" w14:textId="18676499" w:rsidR="00E33EDD" w:rsidRPr="00F62F31" w:rsidRDefault="00283F45" w:rsidP="00B51A4D">
            <w:pPr>
              <w:rPr>
                <w:szCs w:val="18"/>
              </w:rPr>
            </w:pPr>
            <w:r>
              <w:rPr>
                <w:szCs w:val="18"/>
              </w:rPr>
              <w:t>Nee</w:t>
            </w:r>
          </w:p>
        </w:tc>
      </w:tr>
    </w:tbl>
    <w:p w14:paraId="7ED6AD4B"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26B3233"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0CC30B4A" w14:textId="77777777" w:rsidR="00E33EDD" w:rsidRPr="00F62F31" w:rsidRDefault="00E33EDD" w:rsidP="00D00483">
            <w:r w:rsidRPr="00F62F31">
              <w:t>Onderwerp</w:t>
            </w:r>
          </w:p>
        </w:tc>
        <w:tc>
          <w:tcPr>
            <w:tcW w:w="3250" w:type="pct"/>
          </w:tcPr>
          <w:p w14:paraId="3194BEDF" w14:textId="77777777" w:rsidR="00E33EDD" w:rsidRPr="00F62F31" w:rsidRDefault="00E33EDD" w:rsidP="00B51A4D">
            <w:r w:rsidRPr="00F62F31">
              <w:t>Specificatie</w:t>
            </w:r>
          </w:p>
        </w:tc>
      </w:tr>
      <w:tr w:rsidR="00E33EDD" w:rsidRPr="00F62F31" w14:paraId="505788DC" w14:textId="77777777" w:rsidTr="00BD091D">
        <w:tc>
          <w:tcPr>
            <w:tcW w:w="1750" w:type="pct"/>
          </w:tcPr>
          <w:p w14:paraId="5571A96A" w14:textId="77777777" w:rsidR="00E33EDD" w:rsidRPr="00F62F31" w:rsidRDefault="00E33EDD" w:rsidP="00D00483">
            <w:r w:rsidRPr="00F62F31">
              <w:t>Bevoegde bestuurslaag</w:t>
            </w:r>
          </w:p>
        </w:tc>
        <w:tc>
          <w:tcPr>
            <w:tcW w:w="3250" w:type="pct"/>
          </w:tcPr>
          <w:p w14:paraId="4713740A" w14:textId="41321D49" w:rsidR="00E33EDD" w:rsidRPr="00F62F31" w:rsidRDefault="0095438C" w:rsidP="0095438C">
            <w:pPr>
              <w:rPr>
                <w:rFonts w:eastAsia="Verdana" w:cs="Verdana"/>
                <w:color w:val="000000" w:themeColor="text1"/>
              </w:rPr>
            </w:pPr>
            <w:r w:rsidRPr="0095438C">
              <w:t>Provincie (art. 16.21 Ow)</w:t>
            </w:r>
          </w:p>
        </w:tc>
      </w:tr>
      <w:tr w:rsidR="00E33EDD" w:rsidRPr="00F62F31" w14:paraId="2540C59B" w14:textId="77777777" w:rsidTr="00BD091D">
        <w:tc>
          <w:tcPr>
            <w:tcW w:w="1750" w:type="pct"/>
          </w:tcPr>
          <w:p w14:paraId="492A48F9" w14:textId="77777777" w:rsidR="00E33EDD" w:rsidRPr="00F62F31" w:rsidRDefault="00E33EDD" w:rsidP="00D00483">
            <w:r w:rsidRPr="00F62F31">
              <w:t>Bestuursorgaan</w:t>
            </w:r>
          </w:p>
        </w:tc>
        <w:tc>
          <w:tcPr>
            <w:tcW w:w="3250" w:type="pct"/>
          </w:tcPr>
          <w:p w14:paraId="041142EA" w14:textId="471727AA" w:rsidR="00E33EDD" w:rsidRPr="00F62F31" w:rsidRDefault="00052505" w:rsidP="00052505">
            <w:pPr>
              <w:rPr>
                <w:rFonts w:eastAsia="Verdana" w:cs="Verdana"/>
                <w:color w:val="000000" w:themeColor="text1"/>
              </w:rPr>
            </w:pPr>
            <w:r w:rsidRPr="00052505">
              <w:t>Gedeputeerde staten (art. 16.21 Ow)</w:t>
            </w:r>
          </w:p>
        </w:tc>
      </w:tr>
      <w:tr w:rsidR="00E33EDD" w:rsidRPr="00F62F31" w14:paraId="2EC79749" w14:textId="77777777" w:rsidTr="00BD091D">
        <w:tc>
          <w:tcPr>
            <w:tcW w:w="1750" w:type="pct"/>
          </w:tcPr>
          <w:p w14:paraId="40E9806F" w14:textId="77777777" w:rsidR="00E33EDD" w:rsidRPr="00F62F31" w:rsidRDefault="007D692E" w:rsidP="00D00483">
            <w:pPr>
              <w:rPr>
                <w:rFonts w:eastAsia="Verdana" w:cs="Verdana"/>
              </w:rPr>
            </w:pPr>
            <w:r>
              <w:lastRenderedPageBreak/>
              <w:t>O</w:t>
            </w:r>
            <w:r w:rsidR="00F452CD">
              <w:t>mgevingsdocument</w:t>
            </w:r>
            <w:r>
              <w:t xml:space="preserve"> </w:t>
            </w:r>
            <w:r w:rsidR="00E33EDD" w:rsidRPr="00F62F31">
              <w:t>kan rechtstreeks ander</w:t>
            </w:r>
            <w:r w:rsidR="00F452CD">
              <w:t xml:space="preserve"> omgevingsdocument </w:t>
            </w:r>
            <w:r w:rsidR="00E33EDD" w:rsidRPr="00F62F31">
              <w:t>wijzigen (meervoudig bronhouderschap)</w:t>
            </w:r>
          </w:p>
        </w:tc>
        <w:tc>
          <w:tcPr>
            <w:tcW w:w="3250" w:type="pct"/>
          </w:tcPr>
          <w:p w14:paraId="6B6ADE39" w14:textId="3B81FFD6" w:rsidR="00ED75DD" w:rsidRDefault="00ED75DD" w:rsidP="00ED75DD">
            <w:r>
              <w:t xml:space="preserve">Ja, de reactieve interventie </w:t>
            </w:r>
            <w:r w:rsidR="00280509">
              <w:t xml:space="preserve">wijzigt </w:t>
            </w:r>
            <w:r w:rsidR="0088571F">
              <w:t xml:space="preserve">het </w:t>
            </w:r>
            <w:r>
              <w:t>omgevingsplan</w:t>
            </w:r>
            <w:r w:rsidR="005A1AA5">
              <w:t>.</w:t>
            </w:r>
          </w:p>
          <w:p w14:paraId="58F0F3D8" w14:textId="3878724F" w:rsidR="00E33EDD" w:rsidRPr="00F62F31" w:rsidRDefault="00E33EDD" w:rsidP="00ED75DD"/>
        </w:tc>
      </w:tr>
      <w:tr w:rsidR="00E33EDD" w:rsidRPr="00F62F31" w14:paraId="46B9D863" w14:textId="77777777" w:rsidTr="00BD091D">
        <w:tc>
          <w:tcPr>
            <w:tcW w:w="1750" w:type="pct"/>
          </w:tcPr>
          <w:p w14:paraId="3A03A1FD" w14:textId="77777777" w:rsidR="00E33EDD" w:rsidRPr="00F62F31" w:rsidRDefault="00E33EDD" w:rsidP="00D00483">
            <w:pPr>
              <w:rPr>
                <w:rFonts w:eastAsia="Verdana" w:cs="Verdana"/>
              </w:rPr>
            </w:pPr>
            <w:r w:rsidRPr="00F62F31">
              <w:t>Ander</w:t>
            </w:r>
            <w:r w:rsidR="00F452CD">
              <w:t xml:space="preserve"> omgevingsdocument </w:t>
            </w:r>
            <w:r w:rsidRPr="00F62F31">
              <w:t>kan rechtstreeks onderhavig</w:t>
            </w:r>
            <w:r w:rsidR="00F452CD">
              <w:t xml:space="preserve"> omgevingsdocument </w:t>
            </w:r>
            <w:r w:rsidRPr="00F62F31">
              <w:t>wijzigen (meervoudig bronhouderschap)</w:t>
            </w:r>
          </w:p>
        </w:tc>
        <w:tc>
          <w:tcPr>
            <w:tcW w:w="3250" w:type="pct"/>
          </w:tcPr>
          <w:p w14:paraId="44107734" w14:textId="668AFF4A" w:rsidR="00E33EDD" w:rsidRPr="00F62F31" w:rsidRDefault="003C166F" w:rsidP="003C166F">
            <w:pPr>
              <w:rPr>
                <w:rFonts w:eastAsia="Verdana" w:cs="Verdana"/>
              </w:rPr>
            </w:pPr>
            <w:r>
              <w:rPr>
                <w:rFonts w:eastAsia="Verdana" w:cs="Verdana"/>
              </w:rPr>
              <w:t>Nee</w:t>
            </w:r>
          </w:p>
        </w:tc>
      </w:tr>
      <w:tr w:rsidR="00E33EDD" w:rsidRPr="00F62F31" w14:paraId="5682FE61" w14:textId="77777777" w:rsidTr="00BD091D">
        <w:tc>
          <w:tcPr>
            <w:tcW w:w="1750" w:type="pct"/>
          </w:tcPr>
          <w:p w14:paraId="62AF2747" w14:textId="77777777" w:rsidR="00E33EDD" w:rsidRPr="00F62F31" w:rsidRDefault="00E33EDD" w:rsidP="00D00483">
            <w:pPr>
              <w:rPr>
                <w:color w:val="000000" w:themeColor="text1"/>
              </w:rPr>
            </w:pPr>
            <w:r w:rsidRPr="00F62F31">
              <w:t>Rechtsfiguur kan gewijzigd worden door wijzigingsbesluiten</w:t>
            </w:r>
          </w:p>
        </w:tc>
        <w:tc>
          <w:tcPr>
            <w:tcW w:w="3250" w:type="pct"/>
          </w:tcPr>
          <w:p w14:paraId="7482BC69" w14:textId="77777777" w:rsidR="00E33EDD" w:rsidRPr="00F62F31" w:rsidRDefault="00E33EDD" w:rsidP="00B51A4D">
            <w:pPr>
              <w:rPr>
                <w:color w:val="000000" w:themeColor="text1"/>
              </w:rPr>
            </w:pPr>
            <w:r w:rsidRPr="00F62F31">
              <w:t>Ja</w:t>
            </w:r>
          </w:p>
        </w:tc>
      </w:tr>
    </w:tbl>
    <w:p w14:paraId="660F161C" w14:textId="77777777" w:rsidR="00E33EDD" w:rsidRPr="00F62F31" w:rsidRDefault="00E33EDD" w:rsidP="00E33EDD">
      <w:pPr>
        <w:pStyle w:val="Tabeltitel"/>
      </w:pPr>
      <w:bookmarkStart w:id="17" w:name="_Ref_f91cf7daa29e73aad6fd6d95f9240cc8_3"/>
      <w:r w:rsidRPr="00F62F31">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F62F31" w14:paraId="1A7048FC"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6BD0189F" w14:textId="77777777" w:rsidR="00E33EDD" w:rsidRPr="00F62F31" w:rsidRDefault="00E33EDD" w:rsidP="00614CE9">
            <w:r w:rsidRPr="00F62F31">
              <w:t>Onderwerp</w:t>
            </w:r>
          </w:p>
        </w:tc>
        <w:tc>
          <w:tcPr>
            <w:tcW w:w="3250" w:type="pct"/>
          </w:tcPr>
          <w:p w14:paraId="294D6D8B" w14:textId="77777777" w:rsidR="00E33EDD" w:rsidRPr="00F62F31" w:rsidRDefault="00E33EDD" w:rsidP="00614CE9">
            <w:r w:rsidRPr="00F62F31">
              <w:t>Specificatie</w:t>
            </w:r>
          </w:p>
        </w:tc>
      </w:tr>
      <w:tr w:rsidR="00E33EDD" w:rsidRPr="00F62F31" w14:paraId="0D61CC21" w14:textId="77777777" w:rsidTr="00BD091D">
        <w:tc>
          <w:tcPr>
            <w:tcW w:w="1750" w:type="pct"/>
          </w:tcPr>
          <w:p w14:paraId="60ACBD11"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19B9F111" w14:textId="5459F1D2" w:rsidR="00E33EDD" w:rsidRPr="00F62F31" w:rsidRDefault="00925DFF" w:rsidP="00925DFF">
            <w:pPr>
              <w:rPr>
                <w:rFonts w:eastAsia="Verdana" w:cs="Verdana"/>
              </w:rPr>
            </w:pPr>
            <w:r w:rsidRPr="00925DFF">
              <w:t>Aanwijzing er toe strekkende dat onderdeel van het vastgestelde bestemmingsplan geen onderdeel blijft uitmaken van het bestemmingsplan zoals het is vastgesteld (art. 3.8 lid 6 Wet ruimtelijke ordening), in de praktijk reactieve aanwijzing genoemd</w:t>
            </w:r>
          </w:p>
        </w:tc>
      </w:tr>
      <w:tr w:rsidR="00E33EDD" w:rsidRPr="00F62F31" w14:paraId="6B878197" w14:textId="77777777" w:rsidTr="00BD091D">
        <w:tc>
          <w:tcPr>
            <w:tcW w:w="1750" w:type="pct"/>
          </w:tcPr>
          <w:p w14:paraId="7BE0D53E" w14:textId="77777777"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7B61A1C2" w14:textId="7E07AA12" w:rsidR="00E33EDD" w:rsidRPr="00F62F31" w:rsidRDefault="00600A6D" w:rsidP="00D00483">
            <w:pPr>
              <w:rPr>
                <w:color w:val="000000" w:themeColor="text1"/>
                <w:szCs w:val="18"/>
              </w:rPr>
            </w:pPr>
            <w:r w:rsidRPr="00600A6D">
              <w:rPr>
                <w:szCs w:val="18"/>
              </w:rPr>
              <w:t>Reactieve aanwijzing</w:t>
            </w:r>
          </w:p>
        </w:tc>
      </w:tr>
      <w:tr w:rsidR="00E33EDD" w:rsidRPr="00F62F31" w14:paraId="6EBB5DA3" w14:textId="77777777" w:rsidTr="00BD091D">
        <w:tc>
          <w:tcPr>
            <w:tcW w:w="1750" w:type="pct"/>
          </w:tcPr>
          <w:p w14:paraId="48837045" w14:textId="77777777" w:rsidR="00E33EDD" w:rsidRPr="00F62F31" w:rsidRDefault="00E33EDD" w:rsidP="00D00483">
            <w:pPr>
              <w:rPr>
                <w:shd w:val="clear" w:color="auto" w:fill="FFFFFF"/>
              </w:rPr>
            </w:pPr>
            <w:r w:rsidRPr="00F62F31">
              <w:rPr>
                <w:shd w:val="clear" w:color="auto" w:fill="FFFFFF"/>
              </w:rPr>
              <w:t>INSPIRE</w:t>
            </w:r>
            <w:r w:rsidR="005F4EBF" w:rsidRPr="00F62F31">
              <w:rPr>
                <w:shd w:val="clear" w:color="auto" w:fill="FFFFFF"/>
              </w:rPr>
              <w:t>-</w:t>
            </w:r>
            <w:r w:rsidRPr="00F62F31">
              <w:rPr>
                <w:shd w:val="clear" w:color="auto" w:fill="FFFFFF"/>
              </w:rPr>
              <w:t>thema</w:t>
            </w:r>
          </w:p>
        </w:tc>
        <w:tc>
          <w:tcPr>
            <w:tcW w:w="3250" w:type="pct"/>
          </w:tcPr>
          <w:p w14:paraId="7576EEFD"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