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70E9" w14:textId="77777777" w:rsidR="00D1100E" w:rsidRDefault="00D1100E" w:rsidP="00D1100E">
      <w:pPr>
        <w:pStyle w:val="Kop4"/>
      </w:pPr>
      <w:r w:rsidRPr="00900D62">
        <w:t>Uitvoering meervoudig bronhouderschap en consolidatie met concept ‘tijdelijk regelingdeel’</w:t>
      </w:r>
    </w:p>
    <w:p w14:paraId="670C1798" w14:textId="3965C348" w:rsidR="00D1100E" w:rsidRDefault="00607451" w:rsidP="00D1100E">
      <w:r>
        <w:t>Met name voor voorbereidingsbesluit en projectbesluit is i</w:t>
      </w:r>
      <w:r w:rsidR="00D1100E">
        <w:t xml:space="preserve">n </w:t>
      </w:r>
      <w:r w:rsidR="00D1100E" w:rsidRPr="00FB74CA">
        <w:t xml:space="preserve">de STOP/TPOD-standaard </w:t>
      </w:r>
      <w:r w:rsidR="00D1100E">
        <w:t xml:space="preserve">de </w:t>
      </w:r>
      <w:r w:rsidR="00D1100E" w:rsidRPr="00FB74CA">
        <w:t>technisch</w:t>
      </w:r>
      <w:r w:rsidR="00D1100E">
        <w:t>e</w:t>
      </w:r>
      <w:r w:rsidR="00D1100E" w:rsidRPr="00FB74CA">
        <w:t xml:space="preserve"> </w:t>
      </w:r>
      <w:r w:rsidR="00D1100E">
        <w:t xml:space="preserve">invulling </w:t>
      </w:r>
      <w:r w:rsidR="00D1100E" w:rsidRPr="00FB74CA">
        <w:t xml:space="preserve">ontwikkeld </w:t>
      </w:r>
      <w:r w:rsidR="00D1100E">
        <w:t xml:space="preserve">van </w:t>
      </w:r>
      <w:r w:rsidR="00D1100E" w:rsidRPr="00FB74CA">
        <w:t>het meervoudig bronhouderscha</w:t>
      </w:r>
      <w:r w:rsidR="00D1100E">
        <w:t xml:space="preserve">p: het tijdelijk regelingdeel. </w:t>
      </w:r>
      <w:r w:rsidR="00D1100E" w:rsidRPr="00D80239">
        <w:t xml:space="preserve">Dit concept </w:t>
      </w:r>
      <w:r w:rsidR="00D1100E">
        <w:t xml:space="preserve">houdt in </w:t>
      </w:r>
      <w:r w:rsidR="00D1100E" w:rsidRPr="00D80239">
        <w:t>dat de juridische geconsolideerde regeling kan bestaan uit een hoofdregeling en een</w:t>
      </w:r>
      <w:r w:rsidR="00D1100E">
        <w:t xml:space="preserve"> of meer</w:t>
      </w:r>
      <w:r w:rsidR="00D1100E" w:rsidRPr="00D80239">
        <w:t xml:space="preserve"> tijdelijk regelingdel</w:t>
      </w:r>
      <w:r w:rsidR="00D1100E">
        <w:t>en</w:t>
      </w:r>
      <w:r w:rsidR="00D1100E" w:rsidRPr="00D80239">
        <w:t>.</w:t>
      </w:r>
      <w:r w:rsidR="00D1100E">
        <w:t xml:space="preserve"> </w:t>
      </w:r>
      <w:r w:rsidR="00D1100E" w:rsidRPr="000B0D0F">
        <w:t>Het tijdelijk regelingdeel maakt tijdelijk deel uit van de geconsolideerde regeling en/of is afkomstig van een ander bevoegd gezag dan de ‘eigenaar’ van het omgevingsdocument.</w:t>
      </w:r>
      <w:r w:rsidR="00D1100E">
        <w:t xml:space="preserve"> </w:t>
      </w:r>
      <w:r w:rsidR="00D1100E" w:rsidRPr="00D80239">
        <w:t xml:space="preserve">Technisch zijn het losse delen. </w:t>
      </w:r>
      <w:r w:rsidR="00D1100E">
        <w:t xml:space="preserve">Schematisch </w:t>
      </w:r>
      <w:r w:rsidR="00D1100E" w:rsidRPr="00D80239">
        <w:t xml:space="preserve">ziet </w:t>
      </w:r>
      <w:r w:rsidR="00D1100E">
        <w:t xml:space="preserve">dit </w:t>
      </w:r>
      <w:r w:rsidR="00D1100E" w:rsidRPr="00D80239">
        <w:t>er zo uit:</w:t>
      </w:r>
    </w:p>
    <w:p w14:paraId="55F2063F" w14:textId="2917A453" w:rsidR="00D1100E" w:rsidRPr="003C30F3" w:rsidRDefault="00D1100E" w:rsidP="00D1100E">
      <w:pPr>
        <w:pStyle w:val="Figuur"/>
      </w:pPr>
      <w:r w:rsidRPr="0016532F">
        <w:rPr>
          <w:noProof/>
        </w:rPr>
        <w:lastRenderedPageBreak/>
        <w:drawing>
          <wp:inline distT="0" distB="0" distL="0" distR="0" wp14:anchorId="29D6200E" wp14:editId="1AC23FD6">
            <wp:extent cx="3924300" cy="2647950"/>
            <wp:effectExtent l="0" t="0" r="0" b="0"/>
            <wp:docPr id="20917766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647950"/>
                    </a:xfrm>
                    <a:prstGeom prst="rect">
                      <a:avLst/>
                    </a:prstGeom>
                    <a:noFill/>
                    <a:ln>
                      <a:noFill/>
                    </a:ln>
                  </pic:spPr>
                </pic:pic>
              </a:graphicData>
            </a:graphic>
          </wp:inline>
        </w:drawing>
      </w:r>
    </w:p>
    <w:p w14:paraId="40E68B88" w14:textId="77777777" w:rsidR="00D1100E" w:rsidRDefault="00D1100E" w:rsidP="00D1100E">
      <w:pPr>
        <w:pStyle w:val="Figuurbijschrift"/>
      </w:pPr>
      <w:r w:rsidRPr="00114BD5">
        <w:tab/>
        <w:t>Onderdelen geconsolideerde regeling: hoofdregeling en tijdelijk regel</w:t>
      </w:r>
      <w:r>
        <w:t>ing</w:t>
      </w:r>
      <w:r w:rsidRPr="00114BD5">
        <w:t>del</w:t>
      </w:r>
      <w:r>
        <w:t>en</w:t>
      </w:r>
    </w:p>
    <w:p w14:paraId="6783C8C7" w14:textId="77777777" w:rsidR="00D1100E" w:rsidRDefault="00D1100E" w:rsidP="00D1100E">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w:t>
      </w:r>
    </w:p>
    <w:p w14:paraId="45BA7B78" w14:textId="7F7B25EB" w:rsidR="00D1100E" w:rsidRDefault="00D1100E" w:rsidP="00D1100E">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voorbereidingsbesluit </w:t>
      </w:r>
      <w:r w:rsidRPr="003A295A">
        <w:t xml:space="preserve">staan </w:t>
      </w:r>
      <w:r w:rsidRPr="00361020">
        <w:t xml:space="preserve">in paragraaf </w:t>
      </w:r>
      <w:r w:rsidR="00672789">
        <w:fldChar w:fldCharType="begin"/>
      </w:r>
      <w:r w:rsidR="00672789">
        <w:instrText xml:space="preserve"> REF _Ref_c5a23ee64401bfc95d4b77dc972cab83_1 \n \h </w:instrText>
      </w:r>
      <w:r w:rsidR="00672789">
        <w:fldChar w:fldCharType="separate"/>
      </w:r>
      <w:r w:rsidR="00E21A2D">
        <w:t>4.4.3</w:t>
      </w:r>
      <w:r w:rsidR="00672789">
        <w:fldChar w:fldCharType="end"/>
      </w:r>
      <w:r w:rsidRPr="00361020">
        <w:t>.</w:t>
      </w:r>
    </w:p>
    <w:p w14:paraId="1E1F8A21" w14:textId="77777777" w:rsidR="00D1100E" w:rsidRDefault="00D1100E" w:rsidP="00D1100E">
      <w:r w:rsidRPr="00530B39">
        <w:t xml:space="preserve">Het concept tijdelijk </w:t>
      </w:r>
      <w:r>
        <w:t>regeling</w:t>
      </w:r>
      <w:r w:rsidRPr="00530B39">
        <w:t>deel geldt zowel voor tekst als voor geografische informatieobjecten</w:t>
      </w:r>
      <w:r>
        <w:t xml:space="preserve"> </w:t>
      </w:r>
      <w:r w:rsidRPr="00585E19">
        <w:t xml:space="preserve">(verder afgekort tot GIO, zie </w:t>
      </w:r>
      <w:r>
        <w:t xml:space="preserve">daarvoor verder </w:t>
      </w:r>
      <w:r w:rsidRPr="00585E19">
        <w:t xml:space="preserve">paragraaf </w:t>
      </w:r>
      <w:r>
        <w:fldChar w:fldCharType="begin" w:fldLock="1"/>
      </w:r>
      <w:r>
        <w:instrText xml:space="preserve"> REF _Ref_4c42f64597557353b3456dccfe57d1ed_1 \n \h </w:instrText>
      </w:r>
      <w:r>
        <w:fldChar w:fldCharType="separate"/>
      </w:r>
      <w:r w:rsidRPr="00DF3BF8">
        <w:rPr>
          <w:rStyle w:val="Verwijzing"/>
        </w:rPr>
        <w:t>6.1.2.1</w:t>
      </w:r>
      <w:r>
        <w:fldChar w:fldCharType="end"/>
      </w:r>
      <w:r w:rsidRPr="00585E19">
        <w:t>)</w:t>
      </w:r>
      <w:r w:rsidRPr="00530B39">
        <w:t xml:space="preserve">. Een tijdelijk </w:t>
      </w:r>
      <w:r>
        <w:t>regeling</w:t>
      </w:r>
      <w:r w:rsidRPr="00530B39">
        <w:t xml:space="preserve">deel kan </w:t>
      </w:r>
      <w:r>
        <w:t>a</w:t>
      </w:r>
      <w:r w:rsidRPr="00530B39">
        <w:t xml:space="preserve">rtikelen en </w:t>
      </w:r>
      <w:r>
        <w:t>l</w:t>
      </w:r>
      <w:r w:rsidRPr="00530B39">
        <w:t xml:space="preserve">eden hebben die niet in de hoofdregeling voorkomen én alternatieve versies van </w:t>
      </w:r>
      <w:r>
        <w:t>a</w:t>
      </w:r>
      <w:r w:rsidRPr="00530B39">
        <w:t xml:space="preserve">rtikelen en </w:t>
      </w:r>
      <w:r>
        <w:t>l</w:t>
      </w:r>
      <w:r w:rsidRPr="00530B39">
        <w:t xml:space="preserve">eden uit de hoofdregeling. </w:t>
      </w:r>
      <w:r>
        <w:t>Ieder</w:t>
      </w:r>
      <w:r w:rsidRPr="00530B39">
        <w:t xml:space="preserve"> tijdelijk </w:t>
      </w:r>
      <w:r>
        <w:t>regeling</w:t>
      </w:r>
      <w:r w:rsidRPr="00530B39">
        <w:t xml:space="preserve">deel </w:t>
      </w:r>
      <w:r>
        <w:t>heeft eigen GIO’s. Ze kunnen bedoeld zijn</w:t>
      </w:r>
      <w:r w:rsidRPr="00530B39">
        <w:t xml:space="preserve"> </w:t>
      </w:r>
      <w:r>
        <w:t xml:space="preserve">als </w:t>
      </w:r>
      <w:r w:rsidRPr="0037697E">
        <w:t>GIO</w:t>
      </w:r>
      <w:r>
        <w:t>’</w:t>
      </w:r>
      <w:r w:rsidRPr="0037697E">
        <w:t>s</w:t>
      </w:r>
      <w:r>
        <w:t xml:space="preserve"> die </w:t>
      </w:r>
      <w:r w:rsidRPr="00530B39">
        <w:t xml:space="preserve">niet in de hoofdregeling voorkomen </w:t>
      </w:r>
      <w:r>
        <w:t xml:space="preserve">of als </w:t>
      </w:r>
      <w:r w:rsidRPr="00530B39">
        <w:t xml:space="preserve">alternatieve versies van </w:t>
      </w:r>
      <w:r w:rsidRPr="0037697E">
        <w:t>GIO</w:t>
      </w:r>
      <w:r>
        <w:t>’</w:t>
      </w:r>
      <w:r w:rsidRPr="0037697E">
        <w:t xml:space="preserve">s </w:t>
      </w:r>
      <w:r w:rsidRPr="00530B39">
        <w:t>uit de hoofdregeling</w:t>
      </w:r>
      <w:r>
        <w:t>, bij voorbeeld om aan te geven dat een onderdeel van de hoofdregeling op een bepaalde locatie wel of juist niet geldt</w:t>
      </w:r>
      <w:r w:rsidRPr="00530B39">
        <w:t>. Datzelfde geldt voor annotaties met OW-objecten.</w:t>
      </w:r>
    </w:p>
    <w:p w14:paraId="3B02DE2B" w14:textId="36EABD54" w:rsidR="00D1100E" w:rsidRDefault="00D1100E" w:rsidP="00D1100E">
      <w:r>
        <w:t xml:space="preserve">De hoofdregeling is het initiële </w:t>
      </w:r>
      <w:r w:rsidR="0085550E">
        <w:t>STOP/TPOD-</w:t>
      </w:r>
      <w:r>
        <w:t>o</w:t>
      </w:r>
      <w:r w:rsidRPr="00AA27B5">
        <w:t>mgevingsplan</w:t>
      </w:r>
      <w:r>
        <w:t xml:space="preserve"> (de bruidsschat),</w:t>
      </w:r>
      <w:r w:rsidRPr="00AA27B5">
        <w:t xml:space="preserve"> </w:t>
      </w:r>
      <w:r>
        <w:t xml:space="preserve">geconsolideerd met alle </w:t>
      </w:r>
      <w:r w:rsidR="00335C52" w:rsidRPr="00335C52">
        <w:t>STOP/TPOD-</w:t>
      </w:r>
      <w:r>
        <w:t xml:space="preserve">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 Technisch wordt de relatie tussen het tijdelijk regelingdeel en de (hoofd)regeling van </w:t>
      </w:r>
      <w:r w:rsidR="00220464">
        <w:t xml:space="preserve">het </w:t>
      </w:r>
      <w:r>
        <w:t>omgevingsplan vastgelegd in de metadata: dít tijdelijk regelingdeel hoort bij díé hoofdregeling.</w:t>
      </w:r>
    </w:p>
    <w:p w14:paraId="6266592D" w14:textId="609064E3" w:rsidR="00D1100E" w:rsidRDefault="00D1100E" w:rsidP="00D1100E">
      <w:r>
        <w:t xml:space="preserve">Ieder tijdelijk regelingdeel begint met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 xml:space="preserve">hebben op de regels in de hoofdregeling. </w:t>
      </w:r>
      <w:r w:rsidRPr="006029D8">
        <w:t xml:space="preserve">Door middel van het STOP-XML-element </w:t>
      </w:r>
      <w:r>
        <w:t>C</w:t>
      </w:r>
      <w:r w:rsidRPr="006029D8">
        <w:t xml:space="preserve">onditie is </w:t>
      </w:r>
      <w:r>
        <w:t xml:space="preserve">de </w:t>
      </w:r>
      <w:r w:rsidRPr="006029D8">
        <w:t xml:space="preserve">conditie als zodanig te herkennen. Met behulp van het tekstelement </w:t>
      </w:r>
      <w:r>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zodat de raadpleger direct kan zien wat de verhouding tussen tijdelijk regelingdeel en hoofdregeling is. De </w:t>
      </w:r>
      <w:r w:rsidRPr="002E499B">
        <w:t xml:space="preserve">betekenis </w:t>
      </w:r>
      <w:r>
        <w:t xml:space="preserve">van de conditie wordt niet </w:t>
      </w:r>
      <w:r>
        <w:lastRenderedPageBreak/>
        <w:t xml:space="preserve">gemodelleerd. Er is dus geen attribuut waarmee de aard van de verhouding tussen hoofdregeling en tijdelijk regelingdeel machineleesbaar wordt gemaakt. Hoe die verhouding is, blijkt uit de tekst van de conditie. </w:t>
      </w:r>
      <w:r w:rsidR="008E71F3">
        <w:t xml:space="preserve">Een voorbeeld van de </w:t>
      </w:r>
      <w:r>
        <w:t xml:space="preserve">tekst van de conditie </w:t>
      </w:r>
      <w:r w:rsidR="008E71F3">
        <w:t xml:space="preserve">staat in </w:t>
      </w:r>
      <w:r w:rsidR="00D1337C">
        <w:t xml:space="preserve">de </w:t>
      </w:r>
      <w:r w:rsidR="008E71F3">
        <w:t>voorbeeld</w:t>
      </w:r>
      <w:r w:rsidR="00D1337C">
        <w:t>en</w:t>
      </w:r>
      <w:r w:rsidR="008E71F3">
        <w:t xml:space="preserve"> van </w:t>
      </w:r>
      <w:r w:rsidR="00D1337C">
        <w:t xml:space="preserve">de </w:t>
      </w:r>
      <w:r>
        <w:t>paragra</w:t>
      </w:r>
      <w:r w:rsidR="00D1337C">
        <w:t>fen</w:t>
      </w:r>
      <w:r>
        <w:t xml:space="preserve"> </w:t>
      </w:r>
      <w:r w:rsidR="00C62D81">
        <w:fldChar w:fldCharType="begin"/>
      </w:r>
      <w:r w:rsidR="00C62D81">
        <w:instrText xml:space="preserve"> REF _Ref_28b64239a446c779746db84833f5fd8f_1 \n \h </w:instrText>
      </w:r>
      <w:r w:rsidR="00C62D81">
        <w:fldChar w:fldCharType="separate"/>
      </w:r>
      <w:r w:rsidR="00E21A2D">
        <w:t>4.4.2.3</w:t>
      </w:r>
      <w:r w:rsidR="00C62D81">
        <w:fldChar w:fldCharType="end"/>
      </w:r>
      <w:r w:rsidR="00F17A38">
        <w:t xml:space="preserve"> en </w:t>
      </w:r>
      <w:r w:rsidR="00C62D81">
        <w:fldChar w:fldCharType="begin"/>
      </w:r>
      <w:r w:rsidR="00C62D81">
        <w:instrText xml:space="preserve"> REF _Ref_abbebf22dc72495eea2a0822bf30641b_1 \n \h </w:instrText>
      </w:r>
      <w:r w:rsidR="00C62D81">
        <w:fldChar w:fldCharType="separate"/>
      </w:r>
      <w:r w:rsidR="00E21A2D">
        <w:t>4.4.3.3</w:t>
      </w:r>
      <w:r w:rsidR="00C62D81">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1"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