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53AF2213"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863F41">
        <w:rPr>
          <w:rStyle w:val="Verwijzing"/>
        </w:rPr>
        <w:fldChar w:fldCharType="begin"/>
      </w:r>
      <w:r w:rsidRPr="00863F41">
        <w:rPr>
          <w:rStyle w:val="Verwijzing"/>
        </w:rPr>
        <w:instrText xml:space="preserve"> REF _Ref_dae562afea9aeb25061bfaa254bf9c50_1 \n \h </w:instrText>
      </w:r>
      <w:r w:rsidRPr="00863F41">
        <w:rPr>
          <w:rStyle w:val="Verwijzing"/>
        </w:rPr>
      </w:r>
      <w:r w:rsidRPr="00863F41">
        <w:rPr>
          <w:rStyle w:val="Verwijzing"/>
        </w:rPr>
        <w:fldChar w:fldCharType="separate"/>
      </w:r>
      <w:r w:rsidR="00E21A2D">
        <w:rPr>
          <w:rStyle w:val="Verwijzing"/>
        </w:rPr>
        <w:t>6.1.2.1</w:t>
      </w:r>
      <w:r w:rsidRPr="00863F41">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3D5A24" w:rsidRPr="00B26823" w:rsidRDefault="008325CC">
      <w:pPr>
        <w:pStyle w:val="Figuur"/>
      </w:pPr>
      <w:r>
        <w:rPr>
          <w:noProof/>
        </w:rPr>
        <w:drawing>
          <wp:inline distT="0" distB="0" distL="0" distR="0" wp14:anchorId="426E6C81" wp14:editId="1104996B">
            <wp:extent cx="4219575" cy="1348637"/>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5"/>
                    <a:stretch>
                      <a:fillRect/>
                    </a:stretch>
                  </pic:blipFill>
                  <pic:spPr>
                    <a:xfrm>
                      <a:off x="0" y="0"/>
                      <a:ext cx="4253808" cy="1359578"/>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5"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