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3D5A24" w:rsidRPr="007B60F8" w:rsidRDefault="003D5A24" w:rsidP="007D5679">
      <w:pPr>
        <w:pStyle w:val="Kop5"/>
      </w:pPr>
      <w:r w:rsidRPr="007B60F8">
        <w:t>Raadplegen in DSO-LV</w:t>
      </w:r>
    </w:p>
    <w:p w14:paraId="4CA800A1" w14:textId="1A854438" w:rsidR="003D5A24" w:rsidRPr="007B60F8" w:rsidRDefault="003D5A24" w:rsidP="003D5A24">
      <w:r w:rsidRPr="007B60F8">
        <w:t xml:space="preserve">DSO-LV ontvangt de geconsolideerde regeling met de </w:t>
      </w:r>
      <w:r>
        <w:t>OW-object</w:t>
      </w:r>
      <w:r w:rsidRPr="007B60F8">
        <w: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locaties. De getoonde tekst komt uit de geconsolideerde Regelingen vanuit de officiële publicatiebladen.</w:t>
      </w:r>
    </w:p>
    <w:p w14:paraId="642CEFC3" w14:textId="2C930BDA" w:rsidR="003D5A24" w:rsidRPr="007B60F8" w:rsidRDefault="003D5A24" w:rsidP="003D5A24">
      <w:r w:rsidRPr="007B60F8">
        <w:t>Tot slot vormen</w:t>
      </w:r>
      <w:r>
        <w:t xml:space="preserve">, in </w:t>
      </w:r>
      <w:r w:rsidRPr="00890B76">
        <w:t>omgevingsdocumenten met artikelstructuur waarin regels over activiteiten worden gesteld</w:t>
      </w:r>
      <w:r>
        <w:t>,</w:t>
      </w:r>
      <w:r w:rsidRPr="007B60F8">
        <w:t xml:space="preserve"> de </w:t>
      </w:r>
      <w:r>
        <w:t>OW-object</w:t>
      </w:r>
      <w:r w:rsidRPr="007B60F8">
        <w:t xml:space="preserve">en </w:t>
      </w:r>
      <w:r>
        <w:t xml:space="preserve">Activiteit en ActiviteitLocatieaanduiding </w:t>
      </w:r>
      <w:r w:rsidRPr="007B60F8">
        <w:t>de basis voor de toepasbare regels (vragenbomen) in het Omgevingsloket. De locaties zijn gekoppeld aan de activiteiten in de vragenboom. De vragenbomen zelf worden via een apart kanaal aangeleverd.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