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8325CC" w:rsidRDefault="008325CC" w:rsidP="00E21F2A">
      <w:pPr>
        <w:pStyle w:val="Kop4"/>
      </w:pPr>
      <w:bookmarkStart w:id="65" w:name="_Ref_008e19ab69281bfe464efb96b741ae98_1"/>
      <w:r>
        <w:t>Onderscheid tussen bijlagen en op het besluit betrekking hebbende stukken</w:t>
      </w:r>
      <w:bookmarkEnd w:id="65"/>
    </w:p>
    <w:p w14:paraId="2773B5CE" w14:textId="008A2344" w:rsidR="008325CC" w:rsidRDefault="008325CC" w:rsidP="00E21F2A">
      <w:r>
        <w:t xml:space="preserve">In paragraaf </w:t>
      </w:r>
      <w:r>
        <w:fldChar w:fldCharType="begin"/>
      </w:r>
      <w:r>
        <w:instrText xml:space="preserve"> REF _Ref_3cb67efd0d3656fbeb0c63d17ea691cb_1 \n \h </w:instrText>
      </w:r>
      <w:r>
        <w:fldChar w:fldCharType="separate"/>
      </w:r>
      <w:r w:rsidR="00E21A2D">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8325CC" w:rsidRPr="00AD3409" w:rsidRDefault="008325CC"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