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8325CC" w:rsidRPr="00BF4B04" w:rsidRDefault="008325CC" w:rsidP="00713915">
      <w:pPr>
        <w:pStyle w:val="Kop5"/>
      </w:pPr>
      <w:r>
        <w:t>Toelichting</w:t>
      </w:r>
    </w:p>
    <w:p w14:paraId="7694414D" w14:textId="0E8B95E0" w:rsidR="008325CC" w:rsidRDefault="008325CC" w:rsidP="00713915">
      <w:r w:rsidRPr="00AE28AE">
        <w:t xml:space="preserve">Bij het opstellen en wijzigen van omgevingsdocumenten werkt het bevoegd gezag in de eigen </w:t>
      </w:r>
      <w:r>
        <w:t>plan</w:t>
      </w:r>
      <w:r w:rsidRPr="00AE28AE">
        <w:t xml:space="preserve">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alle informatieobjecten en alle </w:t>
      </w:r>
      <w:r>
        <w:t>OW-informatie</w:t>
      </w:r>
      <w:r w:rsidRPr="00AE28AE">
        <w:t>.</w:t>
      </w:r>
    </w:p>
    <w:p w14:paraId="7A94EACD" w14:textId="37B53296" w:rsidR="008325CC" w:rsidRDefault="008325CC"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w:t>
      </w:r>
      <w:r w:rsidRPr="00AE28AE">
        <w:lastRenderedPageBreak/>
        <w:t xml:space="preserve">het bevoegd gezag </w:t>
      </w:r>
      <w:r w:rsidRPr="00AC2ACF">
        <w:t xml:space="preserve">uit die Regeling een Besluit. In het geval van een nieuwe reactieve interventie genereert de software een Besluit met daarin het volledige nieuwe tijdelijk regelingdeel, in het geval van een wijzigingsbesluit genereert de software een Besluit dat </w:t>
      </w:r>
      <w:r>
        <w:t xml:space="preserve">-in principe </w:t>
      </w:r>
      <w:r w:rsidRPr="00AC2ACF">
        <w:t>in renvooiweergave</w:t>
      </w:r>
      <w:r>
        <w:t>-</w:t>
      </w:r>
      <w:r w:rsidRPr="00AC2ACF">
        <w:t xml:space="preserve"> de wijzigingen bevat van de bestaande versie 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w:t>
      </w:r>
      <w:r>
        <w:t xml:space="preserve">de </w:t>
      </w:r>
      <w:r w:rsidRPr="00AE28AE">
        <w:t>STOP</w:t>
      </w:r>
      <w:r>
        <w:t>/TPOD-standaard</w:t>
      </w:r>
      <w:r w:rsidRPr="00AE28AE">
        <w:t xml:space="preserve"> eisen aan de vormgeving van de tekst van Regeling en Besluit. Die eisen zijn vastgelegd in </w:t>
      </w:r>
      <w:r>
        <w:t>model</w:t>
      </w:r>
      <w:r w:rsidRPr="00AE28AE">
        <w:t xml:space="preserve">len voor </w:t>
      </w:r>
      <w:r w:rsidRPr="00844AFB">
        <w:t xml:space="preserve">Besluit </w:t>
      </w:r>
      <w:r w:rsidRPr="00AE28AE">
        <w:t xml:space="preserve">en </w:t>
      </w:r>
      <w:r>
        <w:t>model</w:t>
      </w:r>
      <w:r w:rsidRPr="00AE28AE">
        <w:t>len voor</w:t>
      </w:r>
      <w:r>
        <w:t xml:space="preserve"> </w:t>
      </w:r>
      <w:r w:rsidRPr="00844AFB">
        <w:t>Regeling</w:t>
      </w:r>
      <w:r w:rsidRPr="00AE28AE">
        <w:t>.</w:t>
      </w:r>
    </w:p>
    <w:p w14:paraId="3E00B6DB" w14:textId="43F2D681" w:rsidR="008325CC" w:rsidRDefault="008325CC" w:rsidP="00713915">
      <w:r w:rsidRPr="00844AFB">
        <w:t xml:space="preserve">De STOP/TPOD-standaard </w:t>
      </w:r>
      <w:r w:rsidRPr="005B589A">
        <w:t xml:space="preserve">kent voor instrumenten met een tijdelijk regelingdeel het </w:t>
      </w:r>
      <w:r>
        <w:t>model</w:t>
      </w:r>
      <w:r w:rsidRPr="005B589A">
        <w:t xml:space="preserve"> RegelingTijdelijkdeel, dat gecombineerd moet worden met BesluitCompact als </w:t>
      </w:r>
      <w:r>
        <w:t>model</w:t>
      </w:r>
      <w:r w:rsidRPr="005B589A">
        <w:t xml:space="preserve"> voor het Besluit.</w:t>
      </w:r>
      <w:r>
        <w:t xml:space="preserve"> De toepassing daarvan op de reactieve interventie wordt beschreven in paragraaf </w:t>
      </w:r>
      <w:r w:rsidRPr="00863F41">
        <w:rPr>
          <w:rStyle w:val="Verwijzing"/>
        </w:rPr>
        <w:fldChar w:fldCharType="begin"/>
      </w:r>
      <w:r w:rsidRPr="00863F41">
        <w:rPr>
          <w:rStyle w:val="Verwijzing"/>
        </w:rPr>
        <w:instrText xml:space="preserve"> REF _Ref_d07e5b3facf1a5ca8ccea020a8b8d0ea_1 \r \h </w:instrText>
      </w:r>
      <w:r w:rsidRPr="00863F41">
        <w:rPr>
          <w:rStyle w:val="Verwijzing"/>
        </w:rPr>
      </w:r>
      <w:r w:rsidRPr="00863F41">
        <w:rPr>
          <w:rStyle w:val="Verwijzing"/>
        </w:rPr>
        <w:fldChar w:fldCharType="separate"/>
      </w:r>
      <w:r w:rsidR="00E21A2D">
        <w:rPr>
          <w:rStyle w:val="Verwijzing"/>
        </w:rPr>
        <w:t>4.4.2</w:t>
      </w:r>
      <w:r w:rsidRPr="00863F41">
        <w:rPr>
          <w:rStyle w:val="Verwijzing"/>
        </w:rPr>
        <w:fldChar w:fldCharType="end"/>
      </w:r>
      <w:r>
        <w:t xml:space="preserve"> (Besluit) en paragraaf </w:t>
      </w:r>
      <w:r w:rsidRPr="00863F41">
        <w:rPr>
          <w:rStyle w:val="Verwijzing"/>
        </w:rPr>
        <w:fldChar w:fldCharType="begin"/>
      </w:r>
      <w:r w:rsidRPr="00863F41">
        <w:rPr>
          <w:rStyle w:val="Verwijzing"/>
        </w:rPr>
        <w:instrText xml:space="preserve"> REF _Ref_c5a23ee64401bfc95d4b77dc972cab83_1 \r \h </w:instrText>
      </w:r>
      <w:r w:rsidRPr="00863F41">
        <w:rPr>
          <w:rStyle w:val="Verwijzing"/>
        </w:rPr>
      </w:r>
      <w:r w:rsidRPr="00863F41">
        <w:rPr>
          <w:rStyle w:val="Verwijzing"/>
        </w:rPr>
        <w:fldChar w:fldCharType="separate"/>
      </w:r>
      <w:r w:rsidR="00E21A2D">
        <w:rPr>
          <w:rStyle w:val="Verwijzing"/>
        </w:rPr>
        <w:t>4.4.3</w:t>
      </w:r>
      <w:r w:rsidRPr="00863F41">
        <w:rPr>
          <w:rStyle w:val="Verwijzing"/>
        </w:rPr>
        <w:fldChar w:fldCharType="end"/>
      </w:r>
      <w:r>
        <w:t xml:space="preserve"> (Regeling). </w:t>
      </w:r>
      <w:r w:rsidRPr="00883D5F">
        <w:t>In de paragrafen Norm wordt voorgeschreven hoe de modellen moeten worden toegepast. In de paragrafen Toelichting en Voorbeeld bij beide worden tekstvoorbeelden 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