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t>L</w:t>
      </w:r>
      <w:r w:rsidR="00D80111" w:rsidRPr="00F1426F">
        <w:t>ichaam van</w:t>
      </w:r>
      <w:r>
        <w:t xml:space="preserve"> de Regeling van</w:t>
      </w:r>
      <w:r w:rsidR="00D80111" w:rsidRPr="00F1426F">
        <w:t xml:space="preserve"> </w:t>
      </w:r>
      <w:r w:rsidRPr="00F1426F">
        <w:t>omgevingsdocumenten met Artikelstructuur</w:t>
      </w:r>
      <w:r w:rsidR="005A2D91" w:rsidRPr="00F1426F">
        <w:t>, te weten</w:t>
      </w:r>
      <w:r w:rsidRPr="00F1426F">
        <w:t xml:space="preserve"> een artikel of een lid.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