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7271" w14:textId="77777777" w:rsidR="004A32F1" w:rsidRDefault="004A32F1" w:rsidP="004A32F1">
      <w:pPr>
        <w:pStyle w:val="Kop4"/>
      </w:pPr>
      <w:bookmarkStart w:id="230" w:name="_Ref_e9a47c16ccc701e900d970f7c2ad1641_1"/>
      <w:r>
        <w:t xml:space="preserve">Hergebruik door te verwijzen naar een OW-object in een andere </w:t>
      </w:r>
      <w:r>
        <w:t>Regeling</w:t>
      </w:r>
      <w:bookmarkEnd w:id="230"/>
    </w:p>
    <w:p w14:paraId="44A612BF" w14:textId="6F3041D7" w:rsidR="004A32F1" w:rsidRDefault="004A32F1" w:rsidP="004A32F1">
      <w:r>
        <w:t xml:space="preserve">In de tekst van omgevingsdocumenten en bij het annoteren ervan wordt verwezen naar (de identificatie van) GIO’s en OW-objecten. Bij deze methode van hergebruik wordt </w:t>
      </w:r>
      <w:r w:rsidRPr="00684F87">
        <w:t xml:space="preserve">in </w:t>
      </w:r>
      <w:r w:rsidRPr="006B7CED">
        <w:t>Regeling</w:t>
      </w:r>
      <w:r w:rsidRPr="00684F87">
        <w:t xml:space="preserve"> B niet </w:t>
      </w:r>
      <w:r>
        <w:t xml:space="preserve">verwezen naar </w:t>
      </w:r>
      <w:r w:rsidRPr="00684F87">
        <w:t xml:space="preserve">een OW-object </w:t>
      </w:r>
      <w:r>
        <w:t xml:space="preserve">dat behoort bij die </w:t>
      </w:r>
      <w:r w:rsidRPr="006B7CED">
        <w:t>Regeling</w:t>
      </w:r>
      <w:r w:rsidRPr="00684F87">
        <w:t xml:space="preserve">, maar </w:t>
      </w:r>
      <w:r>
        <w:t xml:space="preserve">wordt </w:t>
      </w:r>
      <w:r w:rsidRPr="00684F87">
        <w:t>verw</w:t>
      </w:r>
      <w:r>
        <w:t>e</w:t>
      </w:r>
      <w:r w:rsidRPr="00684F87">
        <w:t xml:space="preserve">zen naar (de identificatie van) een OW-object </w:t>
      </w:r>
      <w:r>
        <w:t xml:space="preserve">dat behoort bij </w:t>
      </w:r>
      <w:r w:rsidRPr="006B7CED">
        <w:t>Regeling</w:t>
      </w:r>
      <w:r w:rsidRPr="00684F87">
        <w:t xml:space="preserve"> A</w:t>
      </w:r>
      <w:r>
        <w:t xml:space="preserve">. Ook deze vorm van hergebruik zal doorgaans </w:t>
      </w:r>
      <w:r w:rsidRPr="00EF6A0A">
        <w:t>betrekking hebben op een of meer Locaties.</w:t>
      </w:r>
      <w:r>
        <w:t xml:space="preserve"> Er zal dan ook sprake zijn van verwijzen naar GIO’s in de andere Regeling. Het verwijzen naar GIO’s volgt dan ook de regels van de Norm van paragraaf </w:t>
      </w:r>
      <w:r>
        <w:fldChar w:fldCharType="begin"/>
      </w:r>
      <w:r>
        <w:instrText xml:space="preserve"> REF _Ref_5086bd211034cc65e8e1dd9c11458b0f_1 \n \h </w:instrText>
      </w:r>
      <w:r>
        <w:fldChar w:fldCharType="separate"/>
      </w:r>
      <w:r w:rsidR="00E21A2D">
        <w:t>7.7.2.1</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