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FDFB" w14:textId="77777777" w:rsidR="004A32F1" w:rsidRDefault="004A32F1" w:rsidP="004A32F1">
      <w:pPr>
        <w:pStyle w:val="Kop5"/>
      </w:pPr>
      <w:bookmarkStart w:id="232" w:name="_Ref_5086bd211034cc65e8e1dd9c11458b0f_1"/>
      <w:r>
        <w:t>Norm</w:t>
      </w:r>
      <w:bookmarkEnd w:id="232"/>
    </w:p>
    <w:p w14:paraId="100162CC" w14:textId="77777777" w:rsidR="004A32F1" w:rsidRDefault="004A32F1" w:rsidP="004A32F1">
      <w:r>
        <w:t>Voor het verwijzen van OW-objecten naar andere OW-objecten gelden de volgende regels:</w:t>
      </w:r>
    </w:p>
    <w:p w14:paraId="2037F312" w14:textId="4D76572D" w:rsidR="004A32F1" w:rsidRDefault="004A32F1" w:rsidP="004A32F1">
      <w:pPr>
        <w:pStyle w:val="Opsommingtekens1"/>
      </w:pPr>
      <w:r>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waarvoor specifieke regels gelden;</w:t>
      </w:r>
    </w:p>
    <w:p w14:paraId="1D74AD8B" w14:textId="77777777" w:rsidR="004A32F1" w:rsidRDefault="004A32F1" w:rsidP="004A32F1">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20326339" w14:textId="00A1C16D" w:rsidR="004A32F1" w:rsidRDefault="004A32F1" w:rsidP="004A32F1">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waarvoor specifieke regels gelden</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