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3F5A" w14:textId="77777777" w:rsidR="008325CC" w:rsidRDefault="008325CC" w:rsidP="00900C6F">
      <w:pPr>
        <w:pStyle w:val="Kop5"/>
      </w:pPr>
      <w:bookmarkStart w:id="338" w:name="_Ref_a456ec57d3b822620d00b5060b6093dc_1"/>
      <w:r>
        <w:t>Juridisch kader</w:t>
      </w:r>
      <w:bookmarkEnd w:id="338"/>
    </w:p>
    <w:p w14:paraId="388A29F9" w14:textId="20BBEF63" w:rsidR="008325CC" w:rsidRDefault="008325CC" w:rsidP="004E37A2">
      <w:r>
        <w:t xml:space="preserve">GS </w:t>
      </w:r>
      <w:r w:rsidRPr="00625D0C">
        <w:t xml:space="preserve">kunnen </w:t>
      </w:r>
      <w:r>
        <w:t>besluiten dat een onderdeel van een besluit tot vaststelling of wijziging van een omgevingsplan geen deel daarvan uitmaakt</w:t>
      </w:r>
      <w:r>
        <w:rPr>
          <w:rStyle w:val="Voetnootmarkering"/>
        </w:rPr>
        <w:footnoteReference w:id="19"/>
      </w:r>
      <w:r>
        <w:t xml:space="preserve">. GS </w:t>
      </w:r>
      <w:r w:rsidRPr="00E248DA">
        <w:t xml:space="preserve">kunnen </w:t>
      </w:r>
      <w:r>
        <w:t>dit besluit nemen als</w:t>
      </w:r>
      <w:r>
        <w:rPr>
          <w:rStyle w:val="Voetnootmarkering"/>
        </w:rPr>
        <w:footnoteReference w:id="20"/>
      </w:r>
      <w:r>
        <w:t>:</w:t>
      </w:r>
    </w:p>
    <w:p w14:paraId="2778FF0A" w14:textId="77777777" w:rsidR="008325CC" w:rsidRDefault="008325CC" w:rsidP="004E37A2">
      <w:pPr>
        <w:pStyle w:val="Opsommingtekens1"/>
      </w:pPr>
      <w:r>
        <w:t>zij over dat onderdeel een zienswijze naar voren hebben gebracht en die zienswijze niet volledig in het omgevingsplan is overgenomen, of</w:t>
      </w:r>
    </w:p>
    <w:p w14:paraId="67DCE458" w14:textId="77777777" w:rsidR="008325CC" w:rsidRDefault="008325CC" w:rsidP="004E37A2">
      <w:pPr>
        <w:pStyle w:val="Opsommingtekens1"/>
      </w:pPr>
      <w:r>
        <w:t>in dat onderdeel wijzigingen zijn aangebracht ten opzichte van het ontwerp, anders dan op grond van een zienswijze van gedeputeerde staten.</w:t>
      </w:r>
    </w:p>
    <w:p w14:paraId="62D145E7" w14:textId="1D74EC39" w:rsidR="008325CC" w:rsidRDefault="008325CC" w:rsidP="00D039E4">
      <w:r>
        <w:t xml:space="preserve">GS kunnen alleen gebruik maken van de bevoegdheid om een </w:t>
      </w:r>
      <w:r w:rsidRPr="003506FA">
        <w:t xml:space="preserve">reactieve interventie </w:t>
      </w:r>
      <w:r>
        <w:t>te geven</w:t>
      </w:r>
      <w:r w:rsidRPr="003506FA">
        <w:t xml:space="preserve"> </w:t>
      </w:r>
      <w:r>
        <w:t>voor zover</w:t>
      </w:r>
      <w:r>
        <w:rPr>
          <w:rStyle w:val="Voetnootmarkering"/>
        </w:rPr>
        <w:footnoteReference w:id="21"/>
      </w:r>
      <w:r>
        <w:t>:</w:t>
      </w:r>
    </w:p>
    <w:p w14:paraId="1173A9E1" w14:textId="77777777" w:rsidR="008325CC" w:rsidRDefault="008325CC" w:rsidP="00D039E4">
      <w:pPr>
        <w:pStyle w:val="Opsommingtekens1"/>
      </w:pPr>
      <w:r>
        <w:t>dat nodig is met het oog op een evenwichtige toedeling van functies aan locaties, en</w:t>
      </w:r>
    </w:p>
    <w:p w14:paraId="1D48D2FD" w14:textId="77777777" w:rsidR="008325CC" w:rsidRDefault="008325CC" w:rsidP="00D039E4">
      <w:pPr>
        <w:pStyle w:val="Opsommingtekens1"/>
      </w:pPr>
      <w:r>
        <w:t>er sprake is van strijd met een belang als bedoeld in artikel 2.3, tweede lid, onder a Ow, dat is aangegeven in een door een bestuursorgaan van de provincie openbaar gemaakt document.</w:t>
      </w:r>
    </w:p>
    <w:p w14:paraId="5543E565" w14:textId="749C1D50" w:rsidR="008325CC" w:rsidRDefault="008325CC" w:rsidP="00900C6F">
      <w:r>
        <w:t xml:space="preserve">Het </w:t>
      </w:r>
      <w:r w:rsidRPr="00355121">
        <w:t>belang als bedoeld in artikel 2.3, tweede lid, onder a Ow</w:t>
      </w:r>
      <w:r>
        <w:t xml:space="preserve"> is een </w:t>
      </w:r>
      <w:r w:rsidRPr="00261D33">
        <w:t>provinciaal belang dat niet op een doelmatige en doeltreffende wijze door het gemeentebestuur kan worden behartigd</w:t>
      </w:r>
      <w:r>
        <w:t>.</w:t>
      </w:r>
    </w:p>
    <w:p w14:paraId="18CC31E0" w14:textId="77777777" w:rsidR="008325CC" w:rsidRDefault="008325CC" w:rsidP="00900C6F"/>
    <w:p w14:paraId="32610FF9" w14:textId="0976DD6D" w:rsidR="008325CC" w:rsidRDefault="008325CC" w:rsidP="00900C6F">
      <w:r w:rsidRPr="009B191E">
        <w:t>GS moeten tijdig in staat worden gesteld om te beoordelen of zij gebruik willen maken van de bevoegdheid een reactieve interventie te geven. Daarom moeten de gemeenteraad of burgemeester en wethouders het besluit tot vaststelling van het omgevingsplan onverwijld aan GS toesturen als zich een geval als bedoeld in artikel 16.21 lid 1 Ow voordoet</w:t>
      </w:r>
      <w:r>
        <w:rPr>
          <w:rStyle w:val="Voetnootmarkering"/>
        </w:rPr>
        <w:footnoteReference w:id="22"/>
      </w:r>
      <w:r w:rsidRPr="009B191E">
        <w:t xml:space="preserve">. Dat is het geval wanneer GS een zienswijze op het ontwerp van het omgevingsplan hebben ingediend die </w:t>
      </w:r>
      <w:r>
        <w:t xml:space="preserve">de gemeente </w:t>
      </w:r>
      <w:r w:rsidRPr="009B191E">
        <w:t xml:space="preserve">niet volledig </w:t>
      </w:r>
      <w:r>
        <w:t xml:space="preserve">heeft </w:t>
      </w:r>
      <w:r w:rsidRPr="009B191E">
        <w:t>overgenomen of als gemeenteraad of B&amp;W bij de vaststelling van de wijziging van het omgevingsplan daarin een wijziging hebben aangebracht met een andere aanleiding dan een zienswijze van GS.</w:t>
      </w:r>
    </w:p>
    <w:p w14:paraId="3EAA6AD9" w14:textId="160E965E" w:rsidR="008325CC" w:rsidRDefault="008325CC" w:rsidP="00900C6F">
      <w:r w:rsidRPr="00BB2AFB">
        <w:lastRenderedPageBreak/>
        <w:t xml:space="preserve">GS </w:t>
      </w:r>
      <w:r>
        <w:t>moeten</w:t>
      </w:r>
      <w:r w:rsidRPr="00BB2AFB">
        <w:t xml:space="preserve"> voor zij </w:t>
      </w:r>
      <w:r>
        <w:t>een</w:t>
      </w:r>
      <w:r w:rsidRPr="00BB2AFB">
        <w:t xml:space="preserve"> reactieve</w:t>
      </w:r>
      <w:r>
        <w:t xml:space="preserve"> </w:t>
      </w:r>
      <w:r w:rsidRPr="00BB2AFB">
        <w:t>interventie</w:t>
      </w:r>
      <w:r>
        <w:t xml:space="preserve"> geven</w:t>
      </w:r>
      <w:r w:rsidRPr="00BB2AFB">
        <w:t>, overleg voeren met burgemeester en wethouders of de gemeenteraad</w:t>
      </w:r>
      <w:r>
        <w:rPr>
          <w:rStyle w:val="Voetnootmarkering"/>
        </w:rPr>
        <w:footnoteReference w:id="23"/>
      </w:r>
      <w:r w:rsidRPr="00BB2AFB">
        <w:t>.</w:t>
      </w:r>
    </w:p>
    <w:p w14:paraId="4AF53EDA" w14:textId="77777777" w:rsidR="008325CC" w:rsidRDefault="008325CC" w:rsidP="00F54F43"/>
    <w:p w14:paraId="4BCD1AC4" w14:textId="628F7B26" w:rsidR="008325CC" w:rsidRDefault="008325CC" w:rsidP="00030906">
      <w:r>
        <w:t>D</w:t>
      </w:r>
      <w:r w:rsidRPr="00E54BDF">
        <w:t xml:space="preserve">e afdelingen 3.6 en 3.7 van </w:t>
      </w:r>
      <w:r>
        <w:t xml:space="preserve">de Awb zijn </w:t>
      </w:r>
      <w:r w:rsidRPr="00E54BDF">
        <w:t xml:space="preserve">van toepassing op </w:t>
      </w:r>
      <w:r>
        <w:t xml:space="preserve">de </w:t>
      </w:r>
      <w:r w:rsidRPr="00253CA1">
        <w:t>reactieve interventie</w:t>
      </w:r>
      <w:r w:rsidRPr="00E54BDF">
        <w: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w:t>
      </w:r>
      <w:r>
        <w:t xml:space="preserve">de </w:t>
      </w:r>
      <w:r w:rsidRPr="00253CA1">
        <w:t xml:space="preserve">reactieve interventie </w:t>
      </w:r>
      <w:r w:rsidRPr="00E54BDF">
        <w:t>van toepassing zijn, datzelfde geldt voor de Awb-bepalingen over de motivering van besluiten.</w:t>
      </w:r>
    </w:p>
    <w:p w14:paraId="27F74B3D" w14:textId="1688BD67" w:rsidR="008325CC" w:rsidRDefault="008325CC" w:rsidP="00F54F43">
      <w:r>
        <w:t xml:space="preserve">De </w:t>
      </w:r>
      <w:r w:rsidRPr="003B3473">
        <w:t xml:space="preserve">reactieve interventie </w:t>
      </w:r>
      <w:r w:rsidRPr="001975FA">
        <w:t>dient te berusten op een deugdelijke motivering</w:t>
      </w:r>
      <w:r>
        <w:t xml:space="preserve">, die moet worden </w:t>
      </w:r>
      <w:r w:rsidRPr="00112897">
        <w:t xml:space="preserve">vermeld bij de bekendmaking </w:t>
      </w:r>
      <w:r>
        <w:t>er</w:t>
      </w:r>
      <w:r w:rsidRPr="00112897">
        <w:t>van</w:t>
      </w:r>
      <w:r>
        <w:rPr>
          <w:rStyle w:val="Voetnootmarkering"/>
        </w:rPr>
        <w:footnoteReference w:id="24"/>
      </w:r>
      <w:r w:rsidRPr="001975FA">
        <w:t>.</w:t>
      </w:r>
      <w:r>
        <w:t xml:space="preserve"> In de motivering van hun besluit moeten GS aangeven waarom ze geen gebruik hebben kunnen maken van andere bevoegdheden die zij hebben om het provinciaal belang te beschermen</w:t>
      </w:r>
      <w:r>
        <w:rPr>
          <w:rStyle w:val="Voetnootmarkering"/>
        </w:rPr>
        <w:footnoteReference w:id="25"/>
      </w:r>
      <w:r>
        <w:t>.</w:t>
      </w:r>
    </w:p>
    <w:p w14:paraId="1F3A5CEB" w14:textId="77777777" w:rsidR="008325CC" w:rsidRDefault="008325CC" w:rsidP="00F54F43"/>
    <w:p w14:paraId="4AAE631D" w14:textId="77777777" w:rsidR="008325CC" w:rsidRDefault="008325CC" w:rsidP="00D510DA">
      <w:r>
        <w:t xml:space="preserve">GS moeten de </w:t>
      </w:r>
      <w:r w:rsidRPr="00716694">
        <w:t>reactieve interventie</w:t>
      </w:r>
      <w:r>
        <w:t xml:space="preserve"> bekendmaken binnen vier weken nadat het besluit tot vaststelling of wijziging van het omgevingsplan is bekend gemaakt</w:t>
      </w:r>
      <w:r>
        <w:rPr>
          <w:rStyle w:val="Voetnootmarkering"/>
        </w:rPr>
        <w:footnoteReference w:id="26"/>
      </w:r>
      <w:r>
        <w:t>. D</w:t>
      </w:r>
      <w:r w:rsidRPr="00F94D1B">
        <w:t>e reactieve interventie</w:t>
      </w:r>
      <w:r>
        <w:t xml:space="preserve"> </w:t>
      </w:r>
      <w:r w:rsidRPr="00F94D1B">
        <w:t>treedt</w:t>
      </w:r>
      <w:r>
        <w:t xml:space="preserve"> </w:t>
      </w:r>
      <w:r w:rsidRPr="009D2572">
        <w:t>gelijktijdig met (het besluit tot wijziging van) het omgevingsplan in werking</w:t>
      </w:r>
      <w:r>
        <w:rPr>
          <w:rStyle w:val="Voetnootmarkering"/>
        </w:rPr>
        <w:footnoteReference w:id="27"/>
      </w:r>
      <w:r>
        <w:t>. Beiden treden dus in werking vier weken nadat het besluit tot vaststelling of wijziging van het omgevingsplan ter inzage is gelegd, tenzij in het besluit over het omgevingsplan een latere datum is bepaald</w:t>
      </w:r>
      <w:r>
        <w:rPr>
          <w:rStyle w:val="Voetnootmarkering"/>
        </w:rPr>
        <w:footnoteReference w:id="28"/>
      </w:r>
      <w:r>
        <w:t xml:space="preserve">; dan treden beiden op die latere datum in werking. </w:t>
      </w:r>
      <w:r w:rsidRPr="00285191">
        <w:t>De reactieve interventie</w:t>
      </w:r>
      <w:r>
        <w:t xml:space="preserve"> wordt bekendgemaakt door plaatsing ervan in het provinciaal blad</w:t>
      </w:r>
      <w:r>
        <w:rPr>
          <w:rStyle w:val="Voetnootmarkering"/>
        </w:rPr>
        <w:footnoteReference w:id="29"/>
      </w:r>
      <w:r>
        <w:t>.</w:t>
      </w:r>
    </w:p>
    <w:p w14:paraId="3DAF0F34" w14:textId="3CCDB2E2" w:rsidR="008325CC" w:rsidRDefault="008325CC" w:rsidP="00D510DA">
      <w:r>
        <w:t>G</w:t>
      </w:r>
      <w:r w:rsidRPr="00F9774D">
        <w:t>elijktijdig met de bekendmaking van het besluit moet kennis worden gegeven van het besluit en</w:t>
      </w:r>
      <w:r>
        <w:t xml:space="preserve"> van het feit dat tegen de reactieve interventie beroep kan worden ingesteld.</w:t>
      </w:r>
    </w:p>
    <w:p w14:paraId="00C44ED1" w14:textId="77777777" w:rsidR="008325CC" w:rsidRDefault="008325CC" w:rsidP="00F54F43"/>
    <w:p w14:paraId="1D139BDF" w14:textId="2600D75D" w:rsidR="008325CC" w:rsidRDefault="008325CC" w:rsidP="007761AE">
      <w:r>
        <w:t>Tegen de reactieve interventie kan een belanghebbende rechtstreeks beroep bij de Afdeling bestuursrechtspraak van de Raad van State instellen</w:t>
      </w:r>
      <w:r>
        <w:rPr>
          <w:rStyle w:val="Voetnootmarkering"/>
        </w:rPr>
        <w:footnoteReference w:id="30"/>
      </w:r>
      <w:r>
        <w:t xml:space="preserve"> (zie voor de beroepsfase verder paragraaf </w:t>
      </w:r>
      <w:r>
        <w:fldChar w:fldCharType="begin"/>
      </w:r>
      <w:r>
        <w:instrText xml:space="preserve"> REF _Ref_293a2689537383f8ff5f4cab9d8c225e_1 \n \h </w:instrText>
      </w:r>
      <w:r>
        <w:fldChar w:fldCharType="separate"/>
      </w:r>
      <w:r w:rsidR="00E21A2D">
        <w:t>10.4.4</w:t>
      </w:r>
      <w:r>
        <w:fldChar w:fldCharType="end"/>
      </w:r>
      <w:r>
        <w:t xml:space="preserve">). </w:t>
      </w:r>
      <w:r w:rsidRPr="00DA45EA">
        <w:t>De termijn voor het indienen van een beroepschrift bedraagt zes weken</w:t>
      </w:r>
      <w:r>
        <w:rPr>
          <w:rStyle w:val="Voetnootmarkering"/>
        </w:rPr>
        <w:footnoteReference w:id="31"/>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32"/>
      </w:r>
      <w:r w:rsidRPr="00766F7C">
        <w:t>.</w:t>
      </w:r>
    </w:p>
    <w:p w14:paraId="49877D15" w14:textId="357439D2" w:rsidR="008325CC" w:rsidRDefault="008325CC" w:rsidP="0019167C">
      <w:r>
        <w:t xml:space="preserve">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rPr>
          <w:rStyle w:val="Voetnootmarkering"/>
        </w:rPr>
        <w:footnoteReference w:id="33"/>
      </w:r>
      <w:r w:rsidRPr="008E6D40">
        <w:t>.</w:t>
      </w:r>
      <w:r>
        <w:t xml:space="preserve"> Daarbij moet worden </w:t>
      </w:r>
      <w:r w:rsidRPr="006B0115">
        <w:t>vermeld door wie, binnen welke termijn en bij welk orgaan beroep kan worden ingesteld</w:t>
      </w:r>
      <w:r>
        <w:rPr>
          <w:rStyle w:val="Voetnootmarkering"/>
        </w:rPr>
        <w:footnoteReference w:id="34"/>
      </w:r>
      <w:r w:rsidRPr="006B0115">
        <w:t>.</w:t>
      </w:r>
      <w:r>
        <w:t xml:space="preserve"> Deze bepaling houdt in dat deze zogeheten rechtsmiddelenclausule in het besluit moet worden opgenomen.</w:t>
      </w:r>
    </w:p>
    <w:p w14:paraId="691338C6" w14:textId="6DD66A44" w:rsidR="008325CC" w:rsidRDefault="008325CC" w:rsidP="00900C6F"/>
    <w:p w14:paraId="08E92508" w14:textId="289B671A" w:rsidR="008325CC" w:rsidRDefault="008325CC" w:rsidP="00900C6F">
      <w:r>
        <w:t xml:space="preserve">De reactieve interventie is niet met afdeling 3.4 voorbereid. Daarom wordt er geen mededeling van het besluit gedaan aan zienswijzenindieners en geldt er geen wettelijke verplichting om </w:t>
      </w:r>
      <w:r w:rsidRPr="00D240D1">
        <w:t>kennis te geven van de terinzagelegging</w:t>
      </w:r>
      <w:r>
        <w:t xml:space="preserve"> van </w:t>
      </w:r>
      <w:r w:rsidRPr="00D240D1">
        <w:t>op de zaak betrekking hebbende stukken</w:t>
      </w:r>
      <w:r>
        <w:t>.</w:t>
      </w:r>
    </w:p>
    <w:p w14:paraId="18B4AC3C" w14:textId="64D3283F" w:rsidR="008325CC" w:rsidRDefault="008325CC" w:rsidP="00900C6F">
      <w:r w:rsidRPr="00A82A2C">
        <w:lastRenderedPageBreak/>
        <w:t xml:space="preserve">In </w:t>
      </w:r>
      <w:r>
        <w:fldChar w:fldCharType="begin"/>
      </w:r>
      <w:r>
        <w:instrText xml:space="preserve"> REF _Ref_a456ec57d3b822620d00b5060b6093dc_2 \r \h </w:instrText>
      </w:r>
      <w:r>
        <w:fldChar w:fldCharType="separate"/>
      </w:r>
      <w:r w:rsidR="00E21A2D">
        <w:t>Figuur 45</w:t>
      </w:r>
      <w:r>
        <w:fldChar w:fldCharType="end"/>
      </w:r>
      <w:r w:rsidRPr="00A82A2C">
        <w:t xml:space="preserve"> is met een tijdlijn aangegeven hoe de procedures van een wijziging van het omgevingsplan en de reactieve interventie in elkaar grijpen. Te zien is dat GS maar beperkte tijd hebben voor hun afweging om al dan niet een reactieve interventie te geven en voor voorbereiding, nemen en bekendmaken van de reactieve interventie. Ook is te zien dat beide beroepstermijnen niet gelijktijdig starten en eindigen.</w:t>
      </w:r>
    </w:p>
    <w:p w14:paraId="370F2882" w14:textId="786CE3B0" w:rsidR="008325CC" w:rsidRDefault="008325CC" w:rsidP="00C64BD1">
      <w:pPr>
        <w:pStyle w:val="Figuur"/>
      </w:pPr>
      <w:r>
        <w:rPr>
          <w:noProof/>
        </w:rPr>
        <w:drawing>
          <wp:inline distT="0" distB="0" distL="0" distR="0" wp14:anchorId="0467D592" wp14:editId="2ED2C309">
            <wp:extent cx="5400040" cy="2804795"/>
            <wp:effectExtent l="0" t="0" r="0" b="0"/>
            <wp:docPr id="356784185"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84185" name="Afbeelding 1" descr="Afbeelding met tekst, schermopname, Lettertype, diagram&#10;&#10;Automatisch gegenereerde beschrijving"/>
                    <pic:cNvPicPr/>
                  </pic:nvPicPr>
                  <pic:blipFill>
                    <a:blip r:embed="rId74"/>
                    <a:stretch>
                      <a:fillRect/>
                    </a:stretch>
                  </pic:blipFill>
                  <pic:spPr>
                    <a:xfrm>
                      <a:off x="0" y="0"/>
                      <a:ext cx="5400040" cy="2804795"/>
                    </a:xfrm>
                    <a:prstGeom prst="rect">
                      <a:avLst/>
                    </a:prstGeom>
                  </pic:spPr>
                </pic:pic>
              </a:graphicData>
            </a:graphic>
          </wp:inline>
        </w:drawing>
      </w:r>
    </w:p>
    <w:p w14:paraId="65B94048" w14:textId="4719CF76" w:rsidR="008325CC" w:rsidRPr="00C64BD1" w:rsidRDefault="008325CC" w:rsidP="00A82A2C">
      <w:pPr>
        <w:pStyle w:val="Figuurbijschrift"/>
      </w:pPr>
      <w:bookmarkStart w:id="340" w:name="_Ref_a456ec57d3b822620d00b5060b6093dc_2"/>
      <w:r w:rsidRPr="00D9278A">
        <w:t>Tijdlijn wijziging omgevingsplan en reactieve interventie</w:t>
      </w:r>
      <w:bookmarkEnd w:id="34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74" Type="http://schemas.openxmlformats.org/officeDocument/2006/relationships/image" Target="media/image_1078aae1f796bdc0c7ce686dffd637d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