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B09B7" w14:textId="7C02A979" w:rsidR="008325CC" w:rsidRDefault="008325CC" w:rsidP="0041219D">
      <w:pPr>
        <w:pStyle w:val="Kop2"/>
      </w:pPr>
      <w:bookmarkStart w:id="362" w:name="_Ref_5685f742f4008b6b9f0f00ba05ece6a1_1"/>
      <w:r>
        <w:lastRenderedPageBreak/>
        <w:t>Rectificatie en Revisie</w:t>
      </w:r>
      <w:bookmarkEnd w:id="362"/>
    </w:p>
    <w:p w14:paraId="727529BD" w14:textId="754C54B4" w:rsidR="008325CC" w:rsidRPr="00E16ACB" w:rsidRDefault="008325CC" w:rsidP="00AF6499">
      <w:r w:rsidRPr="00E16ACB">
        <w:t xml:space="preserve">Na de publicatie van een besluit, </w:t>
      </w:r>
      <w:r w:rsidRPr="00505C3F">
        <w:t xml:space="preserve">mededeling </w:t>
      </w:r>
      <w:r>
        <w:t xml:space="preserve">of </w:t>
      </w:r>
      <w:r w:rsidRPr="00E16ACB">
        <w:t>kennisgeving kan blijken dat er wel is gepubliceerd wat het bevoegd gezag heeft aangeleverd, maar dat de inhoud van de publicatie niet helemaal correct is. Het bevoegd gezag moet dan de correcte inhoud alsnog aanleveren.</w:t>
      </w:r>
      <w:r>
        <w:t xml:space="preserve"> Wat het bevoegd gezag moet aanleveren hangt af van de soort publicatie die gecorrigeerd moet worden en van de soort correctie.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