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LVBB, overheid.nl en DSO-LV</w:t>
      </w:r>
    </w:p>
    <w:p w14:paraId="4D93B84F" w14:textId="6058B851" w:rsidR="00DA6D81" w:rsidRPr="00B26823" w:rsidRDefault="00ED47BF"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Pr="00B26823">
        <w:t>STOP</w:t>
      </w:r>
      <w:r w:rsidR="008B7535" w:rsidRPr="00B26823">
        <w:t xml:space="preserve">-termen: de </w:t>
      </w:r>
      <w:r w:rsidR="008B7535" w:rsidRPr="00B26823">
        <w:lastRenderedPageBreak/>
        <w:t xml:space="preserve">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Pr="00863F41">
        <w:rPr>
          <w:rStyle w:val="Verwijzing"/>
        </w:rPr>
        <w:instrText>\n \h</w:instrText>
      </w:r>
      <w:r w:rsidR="004C7686" w:rsidRPr="00863F41">
        <w:rPr>
          <w:rStyle w:val="Verwijzing"/>
        </w:rPr>
        <w:instrText xml:space="preserve"> </w:instrText>
      </w:r>
      <w:r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1F09B7">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1938E0D9" w:rsidR="00E33EDD" w:rsidRPr="00B26823" w:rsidRDefault="00E33EDD" w:rsidP="00E33EDD">
      <w:r w:rsidRPr="00B26823">
        <w:t xml:space="preserve">Digitalisering is een </w:t>
      </w:r>
      <w:r>
        <w:t>van de</w:t>
      </w:r>
      <w:r w:rsidRPr="00B26823">
        <w:t xml:space="preserve"> instrument</w:t>
      </w:r>
      <w:r>
        <w:t>en</w:t>
      </w:r>
      <w:r w:rsidRPr="00B26823">
        <w:t xml:space="preserve"> voor het behalen van </w:t>
      </w:r>
      <w:r w:rsidR="00275CC4" w:rsidRPr="00B26823">
        <w:t xml:space="preserve">de </w:t>
      </w:r>
      <w:r w:rsidRPr="00B26823">
        <w:t xml:space="preserve">in paragraaf </w:t>
      </w:r>
      <w:r w:rsidRPr="00863F41">
        <w:rPr>
          <w:rStyle w:val="Verwijzing"/>
        </w:rPr>
        <w:fldChar w:fldCharType="begin"/>
      </w:r>
      <w:r w:rsidRPr="00863F41">
        <w:rPr>
          <w:rStyle w:val="Verwijzing"/>
        </w:rPr>
        <w:instrText xml:space="preserve"> REF _Ref_246bfbf774e3cc51b6dea74ec90a8836_1 \n \h  \* MERGEFORMAT </w:instrText>
      </w:r>
      <w:r w:rsidRPr="00863F41">
        <w:rPr>
          <w:rStyle w:val="Verwijzing"/>
        </w:rPr>
      </w:r>
      <w:r w:rsidRPr="00863F41">
        <w:rPr>
          <w:rStyle w:val="Verwijzing"/>
        </w:rPr>
        <w:fldChar w:fldCharType="separate"/>
      </w:r>
      <w:r w:rsidR="001F09B7">
        <w:rPr>
          <w:rStyle w:val="Verwijzing"/>
        </w:rPr>
        <w:t>1.1.1</w:t>
      </w:r>
      <w:r w:rsidRPr="00863F41">
        <w:rPr>
          <w:rStyle w:val="Verwijzing"/>
        </w:rPr>
        <w:fldChar w:fldCharType="end"/>
      </w:r>
      <w:r w:rsidRPr="00B26823">
        <w:t xml:space="preserve"> genoemde 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9E7B8F" w:rsidRPr="00A22075" w:rsidRDefault="00E33EDD" w:rsidP="00E33EDD">
      <w:pPr>
        <w:pStyle w:val="Opsommingtekens1"/>
      </w:pPr>
      <w:r w:rsidRPr="00B26823">
        <w:t>zien welke regels en beleid van toepassing zijn op een locatie</w:t>
      </w:r>
      <w:r w:rsidRPr="00A22075">
        <w:t>;</w:t>
      </w:r>
    </w:p>
    <w:p w14:paraId="4E9F812E" w14:textId="3B155D9E" w:rsidR="00E33EDD" w:rsidRPr="00A22075" w:rsidRDefault="00ED47BF"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t>die</w:t>
      </w:r>
      <w:r w:rsidRPr="00CF460C">
        <w:t xml:space="preserve"> besluiten en andere rechtsfiguren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