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5E24" w14:textId="77777777" w:rsidR="003873BF" w:rsidRDefault="003873BF" w:rsidP="003873BF">
      <w:pPr>
        <w:pStyle w:val="Kop4"/>
      </w:pPr>
      <w:r w:rsidRPr="00900D62">
        <w:t>Uitvoering meervoudig bronhouderschap en consolidatie met concept ‘tijdelijk regelingdeel’</w:t>
      </w:r>
    </w:p>
    <w:p w14:paraId="43CB522F" w14:textId="77777777" w:rsidR="003873BF" w:rsidRDefault="003873BF" w:rsidP="003873BF">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rsidRPr="00917AEE">
        <w:t xml:space="preserve">toepasbare regels </w:t>
      </w:r>
      <w:r w:rsidRPr="006D67F4">
        <w:t xml:space="preserve">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de vorm van tweerichtingsverkeer met de LVBB die </w:t>
      </w:r>
      <w:r w:rsidRPr="0045636D">
        <w:t xml:space="preserve">nodig is </w:t>
      </w:r>
      <w:r w:rsidRPr="00CC3E2C">
        <w:t xml:space="preserve">voor </w:t>
      </w:r>
      <w:r>
        <w:t xml:space="preserve">de door de wetgever beoogde vorm van </w:t>
      </w:r>
      <w:r w:rsidRPr="00CC3E2C">
        <w:t>meervoudig bronhouderschap</w:t>
      </w:r>
      <w:r>
        <w:t xml:space="preserve">, </w:t>
      </w:r>
      <w:r w:rsidRPr="00D858AD">
        <w:t>niet haalbaar gebleken</w:t>
      </w:r>
      <w:r w:rsidRPr="00CC3E2C">
        <w:t>.</w:t>
      </w:r>
    </w:p>
    <w:p w14:paraId="6A1CBD5F" w14:textId="77777777" w:rsidR="003873BF" w:rsidRDefault="003873BF" w:rsidP="003873BF">
      <w:r>
        <w:t xml:space="preserve">In </w:t>
      </w:r>
      <w:r w:rsidRPr="00FB74CA">
        <w:t xml:space="preserve">de STOP/TPOD-standaard </w:t>
      </w:r>
      <w:r>
        <w:t xml:space="preserve">is de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zo uit:</w:t>
      </w:r>
    </w:p>
    <w:p w14:paraId="6B99DFB8" w14:textId="77777777" w:rsidR="003873BF" w:rsidRPr="003C30F3" w:rsidRDefault="003873BF" w:rsidP="003873BF">
      <w:pPr>
        <w:pStyle w:val="Figuur"/>
      </w:pPr>
      <w:r>
        <w:rPr>
          <w:noProof/>
        </w:rPr>
        <w:lastRenderedPageBreak/>
        <w:drawing>
          <wp:inline distT="0" distB="0" distL="0" distR="0" wp14:anchorId="339B0383" wp14:editId="5CE28C95">
            <wp:extent cx="3952875" cy="2664079"/>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09287981" w14:textId="77777777" w:rsidR="003873BF" w:rsidRDefault="003873BF" w:rsidP="003873BF">
      <w:pPr>
        <w:pStyle w:val="Figuurbijschrift"/>
      </w:pPr>
      <w:r w:rsidRPr="00114BD5">
        <w:tab/>
        <w:t>Onderdelen geconsolideerde regeling: hoofdregeling en tijdelijk regel</w:t>
      </w:r>
      <w:r>
        <w:t>ing</w:t>
      </w:r>
      <w:r w:rsidRPr="00114BD5">
        <w:t>del</w:t>
      </w:r>
      <w:r>
        <w:t>en</w:t>
      </w:r>
    </w:p>
    <w:p w14:paraId="7D296F1B" w14:textId="530B131B" w:rsidR="006C26A9" w:rsidRDefault="003873BF" w:rsidP="003873BF">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w:t>
      </w:r>
    </w:p>
    <w:p w14:paraId="0DA75FB3" w14:textId="2A0A6A5D" w:rsidR="003873BF" w:rsidRDefault="003873BF" w:rsidP="003873BF">
      <w:r>
        <w:t xml:space="preserve">In STOP is het tijdelijk regelingdeel vormgegeven in het </w:t>
      </w:r>
      <w:r w:rsidRPr="001657E4">
        <w:t>tekstmodel RegelingTijdelijkdeel.</w:t>
      </w:r>
      <w:r>
        <w:t xml:space="preserve"> </w:t>
      </w:r>
      <w:r w:rsidRPr="003A295A">
        <w:t xml:space="preserve">De specificaties voor </w:t>
      </w:r>
      <w:r>
        <w:t xml:space="preserve">de </w:t>
      </w:r>
      <w:r w:rsidRPr="003A295A">
        <w:t xml:space="preserve">toepassing van het tekstmodel RegelingTijdelijkdeel </w:t>
      </w:r>
      <w:r>
        <w:t xml:space="preserve">op het </w:t>
      </w:r>
      <w:r w:rsidR="00C423BE">
        <w:t>voorbereidings</w:t>
      </w:r>
      <w:r>
        <w:t xml:space="preserve">besluit </w:t>
      </w:r>
      <w:r w:rsidRPr="003A295A">
        <w:t xml:space="preserve">staan </w:t>
      </w:r>
      <w:r w:rsidRPr="00361020">
        <w:t xml:space="preserve">in paragraaf </w:t>
      </w:r>
      <w:r w:rsidR="00317995">
        <w:rPr>
          <w:rStyle w:val="Verwijzing"/>
        </w:rPr>
        <w:fldChar w:fldCharType="begin"/>
      </w:r>
      <w:r w:rsidR="00317995">
        <w:instrText xml:space="preserve"> REF _Ref_77194b560dc7af68f986cbf3a6f0727f_1 \n \h </w:instrText>
      </w:r>
      <w:r w:rsidR="00317995">
        <w:rPr>
          <w:rStyle w:val="Verwijzing"/>
        </w:rPr>
      </w:r>
      <w:r w:rsidR="00317995">
        <w:rPr>
          <w:rStyle w:val="Verwijzing"/>
        </w:rPr>
        <w:fldChar w:fldCharType="separate"/>
      </w:r>
      <w:r w:rsidR="001F09B7">
        <w:t>4.4</w:t>
      </w:r>
      <w:r w:rsidR="00317995">
        <w:rPr>
          <w:rStyle w:val="Verwijzing"/>
        </w:rPr>
        <w:fldChar w:fldCharType="end"/>
      </w:r>
      <w:r w:rsidRPr="00361020">
        <w:t>.</w:t>
      </w:r>
    </w:p>
    <w:p w14:paraId="690F0082" w14:textId="77777777" w:rsidR="003873BF" w:rsidRDefault="003873BF" w:rsidP="003873BF">
      <w:r w:rsidRPr="00530B39">
        <w:t xml:space="preserve">Het concept tijdelijk </w:t>
      </w:r>
      <w:r>
        <w:t>regeling</w:t>
      </w:r>
      <w:r w:rsidRPr="00530B39">
        <w:t>deel geldt zowel voor tekst als voor geografische informatieobjecten</w:t>
      </w:r>
      <w:r>
        <w:t xml:space="preserve"> </w:t>
      </w:r>
      <w:r w:rsidRPr="00585E19">
        <w:t xml:space="preserve">(verder afgekort tot GIO, zie </w:t>
      </w:r>
      <w:r>
        <w:t xml:space="preserve">daarvoor verder </w:t>
      </w:r>
      <w:r w:rsidRPr="00585E19">
        <w:t xml:space="preserve">paragraaf </w:t>
      </w:r>
      <w:r>
        <w:fldChar w:fldCharType="begin" w:fldLock="1"/>
      </w:r>
      <w:r>
        <w:instrText xml:space="preserve"> REF _Ref_4552725304a039aaf2ff4eda6a046b93_1 \n \h </w:instrText>
      </w:r>
      <w:r>
        <w:fldChar w:fldCharType="separate"/>
      </w:r>
      <w:r w:rsidRPr="00DF3BF8">
        <w:rPr>
          <w:rStyle w:val="Verwijzing"/>
        </w:rPr>
        <w:t>6.1.2.1</w:t>
      </w:r>
      <w:r>
        <w:fldChar w:fldCharType="end"/>
      </w:r>
      <w:r w:rsidRPr="00585E19">
        <w:t>)</w:t>
      </w:r>
      <w:r w:rsidRPr="00530B39">
        <w:t xml:space="preserve">. Een tijdelijk </w:t>
      </w:r>
      <w:r>
        <w:t>regeling</w:t>
      </w:r>
      <w:r w:rsidRPr="00530B39">
        <w:t xml:space="preserve">deel kan </w:t>
      </w:r>
      <w:r>
        <w:t>a</w:t>
      </w:r>
      <w:r w:rsidRPr="00530B39">
        <w:t xml:space="preserve">rtikelen en </w:t>
      </w:r>
      <w:r>
        <w:t>l</w:t>
      </w:r>
      <w:r w:rsidRPr="00530B39">
        <w:t xml:space="preserve">eden hebben die niet in de hoofdregeling voorkomen én alternatieve versies van </w:t>
      </w:r>
      <w:r>
        <w:t>a</w:t>
      </w:r>
      <w:r w:rsidRPr="00530B39">
        <w:t xml:space="preserve">rtikelen en </w:t>
      </w:r>
      <w:r>
        <w:t>l</w:t>
      </w:r>
      <w:r w:rsidRPr="00530B39">
        <w:t xml:space="preserve">eden uit de hoofdregeling. </w:t>
      </w:r>
      <w:r>
        <w:t>Ieder</w:t>
      </w:r>
      <w:r w:rsidRPr="00530B39">
        <w:t xml:space="preserve"> tijdelijk </w:t>
      </w:r>
      <w:r>
        <w:t>regeling</w:t>
      </w:r>
      <w:r w:rsidRPr="00530B39">
        <w:t xml:space="preserve">deel </w:t>
      </w:r>
      <w:r>
        <w:t>heeft eigen GIO’s. Ze kunnen bedoeld zijn</w:t>
      </w:r>
      <w:r w:rsidRPr="00530B39">
        <w:t xml:space="preserve"> </w:t>
      </w:r>
      <w:r>
        <w:t xml:space="preserve">als </w:t>
      </w:r>
      <w:r w:rsidRPr="0037697E">
        <w:t>GIO</w:t>
      </w:r>
      <w:r>
        <w:t>’</w:t>
      </w:r>
      <w:r w:rsidRPr="0037697E">
        <w:t>s</w:t>
      </w:r>
      <w:r>
        <w:t xml:space="preserve"> die </w:t>
      </w:r>
      <w:r w:rsidRPr="00530B39">
        <w:t xml:space="preserve">niet in de hoofdregeling voorkomen </w:t>
      </w:r>
      <w:r>
        <w:t xml:space="preserve">of als </w:t>
      </w:r>
      <w:r w:rsidRPr="00530B39">
        <w:t xml:space="preserve">alternatieve versies van </w:t>
      </w:r>
      <w:r w:rsidRPr="0037697E">
        <w:t>GIO</w:t>
      </w:r>
      <w:r>
        <w:t>’</w:t>
      </w:r>
      <w:r w:rsidRPr="0037697E">
        <w:t xml:space="preserve">s </w:t>
      </w:r>
      <w:r w:rsidRPr="00530B39">
        <w:t>uit de hoofdregeling</w:t>
      </w:r>
      <w:r>
        <w:t>, bij voorbeeld om aan te geven dat een onderdeel van de hoofdregeling op een bepaalde locatie wel of juist niet geldt</w:t>
      </w:r>
      <w:r w:rsidRPr="00530B39">
        <w:t>. Datzelfde geldt voor annotaties met OW-objecten.</w:t>
      </w:r>
    </w:p>
    <w:p w14:paraId="7F937B0D" w14:textId="7F29F2F2" w:rsidR="003873BF" w:rsidRDefault="003873BF" w:rsidP="003873BF">
      <w:r>
        <w:t xml:space="preserve">De hoofdregeling is het initiële </w:t>
      </w:r>
      <w:r w:rsidR="00532E5A" w:rsidRPr="00532E5A">
        <w:t>STOP/TPOD-</w:t>
      </w:r>
      <w:r>
        <w:t>o</w:t>
      </w:r>
      <w:r w:rsidRPr="00AA27B5">
        <w:t>mgevingsplan</w:t>
      </w:r>
      <w:r>
        <w:t xml:space="preserve"> (de bruidsschat),</w:t>
      </w:r>
      <w:r w:rsidRPr="00AA27B5">
        <w:t xml:space="preserve"> </w:t>
      </w:r>
      <w:r>
        <w:t xml:space="preserve">geconsolideerd met alle </w:t>
      </w:r>
      <w:r w:rsidR="00532E5A" w:rsidRPr="00532E5A">
        <w:t>STOP/TPOD-</w:t>
      </w:r>
      <w:r>
        <w:t xml:space="preserve">wijzigingsbesluiten die de gemeente </w:t>
      </w:r>
      <w:r w:rsidRPr="00A12C56">
        <w:t xml:space="preserve">daarna </w:t>
      </w:r>
      <w:r>
        <w:t xml:space="preserve">heeft </w:t>
      </w:r>
      <w:r w:rsidRPr="00A12C56">
        <w:t>genomen</w:t>
      </w:r>
      <w:r w:rsidR="006132AC">
        <w:t>, respectievelijk de initiële omgevingsverordening geconsolideerd met alle wijzigingsbesluiten die de provincie daarna heeft genomen</w:t>
      </w:r>
      <w:r>
        <w:t xml:space="preserve">.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 </w:t>
      </w:r>
      <w:r w:rsidR="009B5ADA">
        <w:t>T</w:t>
      </w:r>
      <w:r w:rsidR="00292358">
        <w:t>echnisch</w:t>
      </w:r>
      <w:r w:rsidR="009B5ADA">
        <w:t xml:space="preserve"> wordt de</w:t>
      </w:r>
      <w:r w:rsidR="00292358">
        <w:t xml:space="preserve"> </w:t>
      </w:r>
      <w:r>
        <w:t xml:space="preserve">relatie tussen het tijdelijk regelingdeel en de </w:t>
      </w:r>
      <w:r w:rsidR="00292358">
        <w:t>(</w:t>
      </w:r>
      <w:r>
        <w:t>hoofd</w:t>
      </w:r>
      <w:r w:rsidR="00292358">
        <w:t>)</w:t>
      </w:r>
      <w:r>
        <w:t xml:space="preserve">regeling </w:t>
      </w:r>
      <w:r w:rsidR="00D465F0">
        <w:t xml:space="preserve">van omgevingsplan of omgevingsverordening </w:t>
      </w:r>
      <w:r>
        <w:t>vastgelegd in de metadata: dít tijdelijk regelingdeel hoort bij díé hoofdregeling.</w:t>
      </w:r>
    </w:p>
    <w:p w14:paraId="78729ADC" w14:textId="36308A48" w:rsidR="003873BF" w:rsidRDefault="003873BF" w:rsidP="003873BF">
      <w:r>
        <w:t xml:space="preserve">Ieder tijdelijk regelingdeel begint met de conditie van het tijdelijk regelingdeel: een beschrijving in woorden van de verhouding tussen dit tijdelijk regelingdeel en de hoofdregeling. Doorgaans zal in de conditie worden bepaald dat de regels in het tijdelijk </w:t>
      </w:r>
      <w:r>
        <w:lastRenderedPageBreak/>
        <w:t xml:space="preserve">regelingdeel -daar waar ze afwijken- </w:t>
      </w:r>
      <w:r w:rsidRPr="002F3562">
        <w:t xml:space="preserve">voorrang </w:t>
      </w:r>
      <w:r>
        <w:t xml:space="preserve">hebben op de regels in de hoofdregeling. </w:t>
      </w:r>
      <w:r w:rsidRPr="006029D8">
        <w:t xml:space="preserve">Door middel van het STOP-XML-element </w:t>
      </w:r>
      <w:r w:rsidR="007B3B79">
        <w:t>C</w:t>
      </w:r>
      <w:r w:rsidRPr="006029D8">
        <w:t xml:space="preserve">onditie is </w:t>
      </w:r>
      <w:r>
        <w:t xml:space="preserve">de </w:t>
      </w:r>
      <w:r w:rsidRPr="006029D8">
        <w:t xml:space="preserve">conditie als zodanig te herkennen. Met behulp van het tekstelement </w:t>
      </w:r>
      <w:r w:rsidR="007B3B79">
        <w:t>C</w:t>
      </w:r>
      <w:r w:rsidRPr="006029D8">
        <w:t xml:space="preserve">onditie kunnen </w:t>
      </w:r>
      <w:r>
        <w:t>overheid.nl</w:t>
      </w:r>
      <w:r w:rsidRPr="006029D8">
        <w:t xml:space="preserve"> en DSO-LV </w:t>
      </w:r>
      <w:r>
        <w:t xml:space="preserve">de </w:t>
      </w:r>
      <w:r w:rsidRPr="006029D8">
        <w:t>conditie</w:t>
      </w:r>
      <w:r>
        <w:t xml:space="preserve"> tonen bij de regels uit het tijdelijk regelingdeel zodat de raadpleger direct kan zien wat de verhouding tussen tijdelijk regelingdeel en hoofdregeling is. De </w:t>
      </w:r>
      <w:r w:rsidRPr="002E499B">
        <w:t xml:space="preserve">betekenis </w:t>
      </w:r>
      <w:r>
        <w:t>van de conditie wordt niet gemodelleerd. Er is dus geen attribuut waarmee de aard van de verhouding tussen hoofdregeling en tijdelijk regelingdeel machineleesbaar wordt gemaakt. Hoe die verhouding is, blijkt uit de tekst van de conditie.</w:t>
      </w:r>
      <w:r w:rsidR="003B74EF">
        <w:t xml:space="preserve"> Zie voor de aanbevolen tekst van de conditie paragraaf </w:t>
      </w:r>
      <w:r w:rsidR="00B26A33">
        <w:fldChar w:fldCharType="begin"/>
      </w:r>
      <w:r w:rsidR="00B26A33">
        <w:instrText xml:space="preserve"> REF _Ref_c7759d250a30314b0f4f5c6da7b606ec_1 \n \h </w:instrText>
      </w:r>
      <w:r w:rsidR="00B26A33">
        <w:fldChar w:fldCharType="separate"/>
      </w:r>
      <w:r w:rsidR="001F09B7">
        <w:t>4.4.3.2</w:t>
      </w:r>
      <w:r w:rsidR="00B26A33">
        <w:fldChar w:fldCharType="end"/>
      </w:r>
      <w:r w:rsidR="00B26A33">
        <w:t>.</w:t>
      </w:r>
    </w:p>
    <w:p w14:paraId="10D47F65" w14:textId="77777777" w:rsidR="00B26A33" w:rsidRDefault="00B26A33" w:rsidP="003873BF"/>
    <w:p w14:paraId="5FABE39B" w14:textId="4982E9FC" w:rsidR="003873BF" w:rsidRDefault="003873BF" w:rsidP="003873BF">
      <w:r>
        <w:t xml:space="preserve">Zoals in paragraaf </w:t>
      </w:r>
      <w:r>
        <w:fldChar w:fldCharType="begin" w:fldLock="1"/>
      </w:r>
      <w:r>
        <w:instrText xml:space="preserve"> REF _Ref_d0e00b65616baee913b8a6a774b614e8_1 \n \h </w:instrText>
      </w:r>
      <w:r>
        <w:fldChar w:fldCharType="separate"/>
      </w:r>
      <w:r w:rsidRPr="00DF3BF8">
        <w:rPr>
          <w:rStyle w:val="Verwijzing"/>
        </w:rPr>
        <w:t>2.4.1</w:t>
      </w:r>
      <w:r>
        <w:fldChar w:fldCharType="end"/>
      </w:r>
      <w:r>
        <w:t xml:space="preserve"> al is aangegeven, moet het</w:t>
      </w:r>
      <w:r w:rsidRPr="00033FB6">
        <w:t xml:space="preserve"> bestuursorgaan dat met </w:t>
      </w:r>
      <w:r>
        <w:t>een voorbereidingsbesluit</w:t>
      </w:r>
      <w:r w:rsidRPr="00033FB6">
        <w:t xml:space="preserve">, </w:t>
      </w:r>
      <w:r>
        <w:t xml:space="preserve">projectbesluit </w:t>
      </w:r>
      <w:r w:rsidRPr="00033FB6">
        <w:t xml:space="preserve">of </w:t>
      </w:r>
      <w:r>
        <w:t xml:space="preserve">reactieve interventie </w:t>
      </w:r>
      <w:r w:rsidRPr="00033FB6">
        <w:t>een omgevingsplan wijzigt</w:t>
      </w:r>
      <w:r>
        <w:t>,</w:t>
      </w:r>
      <w:r w:rsidRPr="00033FB6">
        <w:t xml:space="preserve"> </w:t>
      </w:r>
      <w:r>
        <w:t xml:space="preserve">zorgen voor het </w:t>
      </w:r>
      <w:r w:rsidRPr="00033FB6">
        <w:t>verwerken</w:t>
      </w:r>
      <w:r>
        <w:t xml:space="preserve"> van</w:t>
      </w:r>
      <w:r w:rsidRPr="00033FB6">
        <w:t xml:space="preserve"> deze wijziging in een nieuwe geconsolideerde versie van het omgevingsplan</w:t>
      </w:r>
      <w:r>
        <w:rPr>
          <w:rStyle w:val="Voetnootmarkering"/>
        </w:rPr>
        <w:footnoteReference w:id="6"/>
      </w:r>
      <w:r w:rsidRPr="00033FB6">
        <w:t>.</w:t>
      </w:r>
      <w:r w:rsidRPr="00DA7752">
        <w:t xml:space="preserve"> </w:t>
      </w:r>
      <w:r>
        <w:t>N</w:t>
      </w:r>
      <w:r w:rsidRPr="002B5FE5">
        <w:t xml:space="preserve">et als het doorvoeren van </w:t>
      </w:r>
      <w:r>
        <w:t>wijzigingen</w:t>
      </w:r>
      <w:r w:rsidRPr="002B5FE5">
        <w:t xml:space="preserve"> in een al bestaand plandeel</w:t>
      </w:r>
      <w:r>
        <w:t xml:space="preserve"> is d</w:t>
      </w:r>
      <w:r w:rsidRPr="00DA7752">
        <w:t xml:space="preserve">e toevoeging van een </w:t>
      </w:r>
      <w:r>
        <w:t>tijdelijk regeling</w:t>
      </w:r>
      <w:r w:rsidRPr="00DA7752">
        <w:t>deel aan het omgevingsplan een vorm van consolidatie.</w:t>
      </w:r>
      <w:r>
        <w:t xml:space="preserve"> </w:t>
      </w:r>
      <w:r w:rsidRPr="00DA7752">
        <w:t xml:space="preserve">In </w:t>
      </w:r>
      <w:r>
        <w:t xml:space="preserve">dat laatste </w:t>
      </w:r>
      <w:r w:rsidRPr="00DA7752">
        <w:t xml:space="preserve">geval wordt aan de consolidatieverplichting voldaan door </w:t>
      </w:r>
      <w:r>
        <w:t>het tijdelijk regeling</w:t>
      </w:r>
      <w:r w:rsidRPr="00DA7752">
        <w:t>deel (</w:t>
      </w:r>
      <w:r>
        <w:t xml:space="preserve">door </w:t>
      </w:r>
      <w:r w:rsidRPr="00DA7752">
        <w:t>middel</w:t>
      </w:r>
      <w:r>
        <w:t xml:space="preserve"> van </w:t>
      </w:r>
      <w:r w:rsidRPr="00DA7752">
        <w:t xml:space="preserve">metadata) te koppelen aan de </w:t>
      </w:r>
      <w:r>
        <w:t>hoofdregeling</w:t>
      </w:r>
      <w:r w:rsidRPr="00DA7752">
        <w:t xml:space="preserve"> van het omgevingsplan.</w:t>
      </w:r>
      <w:r>
        <w:t xml:space="preserve"> </w:t>
      </w:r>
      <w:r w:rsidRPr="00B07C37">
        <w:t>Vaststelling van een tijdelijk regelingdeel is een vorm van verwerking in het omgevingsplan</w:t>
      </w:r>
      <w:r>
        <w:t xml:space="preserve">, namelijk door er een (tijdelijk regeling)deel aan </w:t>
      </w:r>
      <w:r w:rsidRPr="001F0F63">
        <w:t>toe</w:t>
      </w:r>
      <w:r>
        <w:t xml:space="preserve"> te </w:t>
      </w:r>
      <w:r w:rsidRPr="001F0F63">
        <w:t>voeg</w:t>
      </w:r>
      <w:r>
        <w:t>e</w:t>
      </w:r>
      <w:r w:rsidRPr="001F0F63">
        <w:t>n</w:t>
      </w:r>
      <w:r w:rsidRPr="00B07C37">
        <w:t>. Hiermee wordt het omgevingsplan juridisch gewijzigd en ontstaat een nieuwe geconsolideerde versie.</w:t>
      </w:r>
    </w:p>
    <w:p w14:paraId="5A823D13" w14:textId="38161AE4" w:rsidR="00726C50" w:rsidRPr="00726C50" w:rsidRDefault="003873BF" w:rsidP="00773567">
      <w:r>
        <w:t>H</w:t>
      </w:r>
      <w:r w:rsidRPr="00DE067A">
        <w:t>et concept ‘tijdelijk regelingdeel’</w:t>
      </w:r>
      <w:r>
        <w:t xml:space="preserve"> van </w:t>
      </w:r>
      <w:r w:rsidRPr="00DE067A">
        <w:t>de STOP/TPOD-standaard</w:t>
      </w:r>
      <w:r>
        <w:t xml:space="preserve"> voorziet dus zowel in </w:t>
      </w:r>
      <w:r w:rsidRPr="004A4838">
        <w:t>de toepassing van het meervoudig bronhouderschap</w:t>
      </w:r>
      <w:r>
        <w:t xml:space="preserve"> als in het voldoen aan de consolidatieverplichting van artikel 16.2 Ow.</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1" Type="http://schemas.openxmlformats.org/officeDocument/2006/relationships/image" Target="media/image_fc0202bf53462d53b8717d531f36786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