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9E7B8F" w:rsidRDefault="00ED47BF" w:rsidP="000F2CCF">
      <w:pPr>
        <w:pStyle w:val="Kop4"/>
      </w:pPr>
      <w:bookmarkStart w:id="69" w:name="_Ref_3cb67efd0d3656fbeb0c63d17ea691cb_1"/>
      <w:r>
        <w:t>B</w:t>
      </w:r>
      <w:r w:rsidRPr="00307038">
        <w:t xml:space="preserve">esluit </w:t>
      </w:r>
      <w:r>
        <w:t>in de juridische context</w:t>
      </w:r>
      <w:bookmarkEnd w:id="69"/>
    </w:p>
    <w:p w14:paraId="49AA4BC3" w14:textId="77777777" w:rsidR="009E7B8F" w:rsidRDefault="00ED47B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9E7B8F" w:rsidRDefault="00ED47BF" w:rsidP="000F2CCF">
      <w:r w:rsidRPr="00AF6183">
        <w:t>Het (ontwerp)besluit moet gepubliceerd c.q. bekend gemaakt worden door plaatsing van de volledige inhoud van het (ontwerp)besluit in het publicatieblad van het bevoegd gezag</w:t>
      </w:r>
      <w:r>
        <w:rPr>
          <w:rStyle w:val="Voetnootmarkering"/>
        </w:rPr>
        <w:footnoteReference w:id="8"/>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