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ED47BF" w:rsidP="002F7B04">
      <w:pPr>
        <w:pStyle w:val="Kop4"/>
      </w:pPr>
      <w:bookmarkStart w:id="217" w:name="_Ref_37875b22fd6b9954e6b816328c5e0fac_1"/>
      <w:r w:rsidRPr="00F1426F">
        <w:t>Toelichting op de norm</w:t>
      </w:r>
      <w:bookmarkEnd w:id="217"/>
    </w:p>
    <w:p w14:paraId="3A74374C" w14:textId="31CC9F1A" w:rsidR="0070124A" w:rsidRPr="007B60F8" w:rsidRDefault="00ED47BF"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t>, indien relevant,</w:t>
      </w:r>
      <w:r w:rsidRPr="00F1426F">
        <w:t xml:space="preserve"> naar de Locatie kan worden verwezen. </w:t>
      </w:r>
      <w:r>
        <w:t xml:space="preserve">Let op: de </w:t>
      </w:r>
      <w:r w:rsidRPr="004F4F63">
        <w:rPr>
          <w:i/>
          <w:iCs/>
        </w:rPr>
        <w:t>noemer</w:t>
      </w:r>
      <w:r>
        <w:t xml:space="preserve"> is niet altijd gelijk aan de naam van het GIO. </w:t>
      </w:r>
      <w:r w:rsidRPr="00F1426F">
        <w:t xml:space="preserve">Het gebruik van </w:t>
      </w:r>
      <w:r w:rsidRPr="00F1426F">
        <w:rPr>
          <w:i/>
          <w:iCs/>
        </w:rPr>
        <w:t>noemer</w:t>
      </w:r>
      <w:r w:rsidRPr="00F1426F">
        <w:t xml:space="preserve"> is optioneel omdat </w:t>
      </w:r>
      <w:r>
        <w:t xml:space="preserve">een noemer niet altijd zinvol is en omdat </w:t>
      </w:r>
      <w:r w:rsidRPr="00F1426F">
        <w:t xml:space="preserve">er Locaties zijn die niet met een term of frase te benoemen zijn. </w:t>
      </w:r>
      <w:r>
        <w:t>Dat geldt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br/>
        <w:t xml:space="preserve">Locatie kan de locatie zijn van een Juridische regel of Tekstdeel (en daarmee, al dan niet </w:t>
      </w:r>
      <w:r>
        <w:lastRenderedPageBreak/>
        <w:t xml:space="preserve">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w:t>
      </w:r>
      <w:r w:rsidRPr="004F4F63">
        <w:rPr>
          <w:i/>
          <w:iCs/>
        </w:rPr>
        <w:t>noemer</w:t>
      </w:r>
      <w:r>
        <w:t xml:space="preserve"> zinvol is of niet. Bij de beschrijving van die objecttypen wordt dit aangegeven.</w:t>
      </w:r>
    </w:p>
    <w:p w14:paraId="0C143E17" w14:textId="6CD3A77D" w:rsidR="009E7B8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w:t>
      </w:r>
      <w:r w:rsidR="00B221E8">
        <w:t xml:space="preserve">wordt </w:t>
      </w:r>
      <w:r w:rsidRPr="00B26823">
        <w:t>gebruik gemaakt van de waardelijst 'Eenheid</w:t>
      </w:r>
      <w:r w:rsidRPr="00F1426F">
        <w:t>’.</w:t>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9E7B8F"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09F0122D" w14:textId="4ED9C55F" w:rsidR="009E7B8F" w:rsidRPr="00137858" w:rsidRDefault="00ED47BF" w:rsidP="00137858">
      <w:pPr>
        <w:pStyle w:val="Opsommingtekens1"/>
      </w:pPr>
      <w:r w:rsidRPr="002A0F0A">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2A0F0A">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05DC7B63" w14:textId="1F47DCBB" w:rsidR="009E7B8F" w:rsidRPr="002A0F0A" w:rsidRDefault="00ED47BF" w:rsidP="002A0F0A">
      <w:pPr>
        <w:pStyle w:val="Opsommingtekens2"/>
      </w:pPr>
      <w:r w:rsidRPr="002A0F0A">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9E7B8F" w:rsidRPr="00F1426F" w:rsidRDefault="00ED47BF" w:rsidP="002A0F0A">
      <w:pPr>
        <w:pStyle w:val="Opsommingtekens2"/>
      </w:pPr>
      <w:r w:rsidRPr="002A0F0A">
        <w:rPr>
          <w:i/>
          <w:iCs/>
        </w:rPr>
        <w:t>domein</w:t>
      </w:r>
      <w:r w:rsidRPr="00F1426F">
        <w:t xml:space="preserve">: </w:t>
      </w:r>
      <w:r>
        <w:t>attribuut dat aangeeft welke van de onderdelen van de bestuurlijkeGrenzen-voorziening moet worden bevraagd: het bestuurlijk gebied;</w:t>
      </w:r>
    </w:p>
    <w:p w14:paraId="16A84337" w14:textId="5E71BF59" w:rsidR="009E7B8F" w:rsidRPr="00F1426F" w:rsidRDefault="00ED47BF" w:rsidP="002A0F0A">
      <w:pPr>
        <w:pStyle w:val="Opsommingtekens2"/>
      </w:pPr>
      <w:r w:rsidRPr="0005135E">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w:t>
      </w:r>
      <w:r>
        <w:t xml:space="preserve"> </w:t>
      </w:r>
      <w:r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9E7B8F" w:rsidRPr="00F1426F" w:rsidRDefault="009E7B8F" w:rsidP="0020646F"/>
    <w:p w14:paraId="5EA7C0E0" w14:textId="35C982EE" w:rsidR="009E7B8F" w:rsidRPr="00F1426F" w:rsidRDefault="00ED47BF" w:rsidP="0020646F">
      <w:r w:rsidRPr="00F1426F">
        <w:t xml:space="preserve">Met uitzondering van Locatie in de verschijningsvorm van Ambtsgebied wordt Locatie altijd vastgelegd in een </w:t>
      </w:r>
      <w:r>
        <w:t>GIO</w:t>
      </w:r>
      <w:r w:rsidRPr="00F1426F">
        <w:t>.</w:t>
      </w:r>
    </w:p>
    <w:p w14:paraId="47269A11" w14:textId="267C050E" w:rsidR="009E7B8F" w:rsidRDefault="009E7B8F" w:rsidP="0020646F"/>
    <w:p w14:paraId="33024C22" w14:textId="3DDE6EF6" w:rsidR="009E7B8F" w:rsidRPr="004F4F63" w:rsidRDefault="00ED47BF" w:rsidP="0020646F">
      <w:pPr>
        <w:rPr>
          <w:u w:val="single"/>
        </w:rPr>
      </w:pPr>
      <w:r w:rsidRPr="004F4F63">
        <w:rPr>
          <w:u w:val="single"/>
        </w:rPr>
        <w:t>Ambtsgebied</w:t>
      </w:r>
    </w:p>
    <w:p w14:paraId="3A41E334" w14:textId="56F1902D" w:rsidR="009E7B8F" w:rsidRDefault="00ED47BF"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083EEDDF" w:rsidR="009E7B8F" w:rsidRPr="007B60F8" w:rsidRDefault="00ED47BF" w:rsidP="0020646F">
      <w:r w:rsidRPr="00F1426F">
        <w:lastRenderedPageBreak/>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863F41">
        <w:rPr>
          <w:rStyle w:val="Verwijzing"/>
        </w:rPr>
        <w:fldChar w:fldCharType="begin"/>
      </w:r>
      <w:r w:rsidRPr="00863F41">
        <w:rPr>
          <w:rStyle w:val="Verwijzing"/>
        </w:rPr>
        <w:instrText xml:space="preserve"> REF _Ref_82ca62a31c8b8bcd46b0ee2514bfa012_1  \n \h  \* MERGEFORMAT </w:instrText>
      </w:r>
      <w:r w:rsidRPr="00863F41">
        <w:rPr>
          <w:rStyle w:val="Verwijzing"/>
        </w:rPr>
      </w:r>
      <w:r w:rsidRPr="00863F41">
        <w:rPr>
          <w:rStyle w:val="Verwijzing"/>
        </w:rPr>
        <w:fldChar w:fldCharType="separate"/>
      </w:r>
      <w:r w:rsidR="001F09B7">
        <w:rPr>
          <w:rStyle w:val="Verwijzing"/>
        </w:rPr>
        <w:t>6.1.2.1</w:t>
      </w:r>
      <w:r w:rsidRPr="00863F41">
        <w:rPr>
          <w:rStyle w:val="Verwijzing"/>
        </w:rPr>
        <w:fldChar w:fldCharType="end"/>
      </w:r>
      <w:r w:rsidRPr="00B26823">
        <w:t>)</w:t>
      </w:r>
      <w:r w:rsidRPr="007B60F8">
        <w:t xml:space="preserve">. </w:t>
      </w:r>
      <w:r w:rsidRPr="00F1426F">
        <w:t xml:space="preserve">Door het nemen van het besluit stelt het bevoegd gezag </w:t>
      </w:r>
      <w:r>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9E7B8F" w:rsidRDefault="00ED47BF"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77728B" w:rsidR="009E7B8F" w:rsidRDefault="00ED47BF"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2A7214E4" w14:textId="07163619" w:rsidR="009E7B8F" w:rsidRDefault="009E7B8F" w:rsidP="0020646F"/>
    <w:p w14:paraId="2291DB8E" w14:textId="77777777" w:rsidR="009E7B8F" w:rsidRDefault="00ED47BF" w:rsidP="00CA17AA">
      <w:r>
        <w:t xml:space="preserve">Locatie </w:t>
      </w:r>
      <w:r w:rsidRPr="00B62E85">
        <w:t>kent geen waardelijsten.</w:t>
      </w:r>
    </w:p>
    <w:p w14:paraId="50A09EF7" w14:textId="77777777" w:rsidR="009E7B8F" w:rsidRDefault="009E7B8F" w:rsidP="00CA17AA"/>
    <w:p w14:paraId="3CFF5567" w14:textId="77777777" w:rsidR="009E7B8F" w:rsidRDefault="00ED47BF" w:rsidP="00CA17AA">
      <w:pPr>
        <w:rPr>
          <w:i/>
          <w:iCs/>
        </w:rPr>
      </w:pPr>
      <w:r w:rsidRPr="00F1426F">
        <w:rPr>
          <w:i/>
          <w:iCs/>
        </w:rPr>
        <w:t>Constraints</w:t>
      </w:r>
    </w:p>
    <w:p w14:paraId="68EDBBE4" w14:textId="42649B7B" w:rsidR="009E7B8F" w:rsidRPr="004F4F63" w:rsidRDefault="00ED47BF" w:rsidP="00CA17AA">
      <w:r>
        <w:t>Locatie heeft drie constraints:</w:t>
      </w:r>
    </w:p>
    <w:p w14:paraId="0D5C62CC" w14:textId="77777777" w:rsidR="009E7B8F" w:rsidRDefault="00ED47BF" w:rsidP="00776D62">
      <w:pPr>
        <w:pStyle w:val="Opsommingtekens1"/>
      </w:pPr>
      <w:r>
        <w:t xml:space="preserve">(bij Gebied): </w:t>
      </w:r>
      <w:r w:rsidRPr="001A7FB1">
        <w:rPr>
          <w:i/>
          <w:iCs/>
        </w:rPr>
        <w:t>geometrie is van type Surface of MultiSurface</w:t>
      </w:r>
      <w:r>
        <w:t>;</w:t>
      </w:r>
    </w:p>
    <w:p w14:paraId="2C46E402" w14:textId="77777777" w:rsidR="009E7B8F" w:rsidRDefault="00ED47BF" w:rsidP="00776D62">
      <w:pPr>
        <w:pStyle w:val="Opsommingtekens1"/>
      </w:pPr>
      <w:r>
        <w:t>(bij Lijn):</w:t>
      </w:r>
      <w:r w:rsidRPr="007C705E">
        <w:t xml:space="preserve"> </w:t>
      </w:r>
      <w:r w:rsidRPr="001A7FB1">
        <w:rPr>
          <w:i/>
          <w:iCs/>
        </w:rPr>
        <w:t>geometrie is van type Curve of MultiCurve</w:t>
      </w:r>
      <w:r>
        <w:t>;</w:t>
      </w:r>
    </w:p>
    <w:p w14:paraId="36A5E789" w14:textId="77777777" w:rsidR="009E7B8F" w:rsidRPr="00F1426F" w:rsidRDefault="00ED47BF"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149BA940" w:rsidR="009E7B8F" w:rsidRDefault="00ED47BF" w:rsidP="00CA17AA">
      <w:r>
        <w:t xml:space="preserve">Deze constraints betekenen enerzijds -tamelijk voor de hand liggend- dat de Locatieverschijningsvorm Gebied alleen mag verwijzen naar vlak-geometrieën en niet naar punt- of lijn-geometrieën, dat </w:t>
      </w:r>
      <w:r w:rsidRPr="00B60882">
        <w:t xml:space="preserve">de Locatieverschijningsvorm </w:t>
      </w:r>
      <w:r>
        <w:t>Lijn</w:t>
      </w:r>
      <w:r w:rsidRPr="00B60882">
        <w:t xml:space="preserve"> alleen mag verwijzen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verwijzen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_Ref_2040e1b89132e304da4f68bd55845cb6_1 \n \h </w:instrText>
      </w:r>
      <w:r>
        <w:fldChar w:fldCharType="separate"/>
      </w:r>
      <w:r w:rsidR="001F09B7">
        <w:t>7.4.1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4C7AE0BB" w14:textId="2E491246" w:rsidR="00B221E8" w:rsidRPr="00F1426F" w:rsidRDefault="006A61EB" w:rsidP="003B61BA">
      <w:pPr>
        <w:pStyle w:val="Kader"/>
      </w:pPr>
      <w:r>
        <w:rPr>
          <w:noProof/>
        </w:rPr>
        <w:lastRenderedPageBreak/>
        <mc:AlternateContent>
          <mc:Choice Requires="wps">
            <w:drawing>
              <wp:inline distT="0" distB="0" distL="0" distR="0" wp14:anchorId="444EC206" wp14:editId="66095C21">
                <wp:extent cx="5400040" cy="1695996"/>
                <wp:effectExtent l="0" t="0" r="22860" b="16510"/>
                <wp:docPr id="1192736511" name="Tekstvak 119273651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04395855" w14:textId="77777777" w:rsidR="006A61EB" w:rsidRPr="00E90C0C" w:rsidRDefault="006A61EB" w:rsidP="006A61EB">
                            <w:pPr>
                              <w:rPr>
                                <w:b/>
                                <w:bCs/>
                              </w:rPr>
                            </w:pPr>
                            <w:r w:rsidRPr="0069163B">
                              <w:rPr>
                                <w:b/>
                                <w:bCs/>
                              </w:rPr>
                              <w:t>Toe</w:t>
                            </w:r>
                            <w:r>
                              <w:rPr>
                                <w:b/>
                                <w:bCs/>
                              </w:rPr>
                              <w:t>lichting op werkafspraak</w:t>
                            </w:r>
                          </w:p>
                          <w:p w14:paraId="03793787" w14:textId="18BFDABB" w:rsidR="003B61BA" w:rsidRDefault="006A61EB" w:rsidP="006A61EB">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1A864E35" w14:textId="5C53EDDD" w:rsidR="006A61EB" w:rsidRPr="00B85351" w:rsidRDefault="006A61EB" w:rsidP="006A61EB">
                            <w:r w:rsidRPr="00D575DF">
                              <w:t>Daarom geldt, totdat in een volgende versie van dit toepassingsprofiel dan wel in een nader bericht van de beheerder van de TPOD-Standaard anders is bepaald, de werkafspraak ‘</w:t>
                            </w:r>
                            <w:r w:rsidR="00124D6A">
                              <w:t>Gebruik h</w:t>
                            </w:r>
                            <w:r w:rsidRPr="00D575DF">
                              <w:t>et attribuut</w:t>
                            </w:r>
                            <w:r>
                              <w:t xml:space="preserve"> </w:t>
                            </w:r>
                            <w:r w:rsidRPr="003B61BA">
                              <w:rPr>
                                <w:i/>
                                <w:iCs/>
                              </w:rPr>
                              <w:t>hoogte</w:t>
                            </w:r>
                            <w:r>
                              <w:t xml:space="preserve">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4EC206" id="Tekstvak 1192736511" o:spid="_x0000_s103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i6LgIAAFo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" filled="f" strokeweight=".5pt">
                <v:textbox style="mso-fit-shape-to-text:t">
                  <w:txbxContent>
                    <w:p w14:paraId="04395855" w14:textId="77777777" w:rsidR="006A61EB" w:rsidRPr="00E90C0C" w:rsidRDefault="006A61EB" w:rsidP="006A61EB">
                      <w:pPr>
                        <w:rPr>
                          <w:b/>
                          <w:bCs/>
                        </w:rPr>
                      </w:pPr>
                      <w:r w:rsidRPr="0069163B">
                        <w:rPr>
                          <w:b/>
                          <w:bCs/>
                        </w:rPr>
                        <w:t>Toe</w:t>
                      </w:r>
                      <w:r>
                        <w:rPr>
                          <w:b/>
                          <w:bCs/>
                        </w:rPr>
                        <w:t>lichting op werkafspraak</w:t>
                      </w:r>
                    </w:p>
                    <w:p w14:paraId="03793787" w14:textId="18BFDABB" w:rsidR="003B61BA" w:rsidRDefault="006A61EB" w:rsidP="006A61EB">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1A864E35" w14:textId="5C53EDDD" w:rsidR="006A61EB" w:rsidRPr="00B85351" w:rsidRDefault="006A61EB" w:rsidP="006A61EB">
                      <w:r w:rsidRPr="00D575DF">
                        <w:t>Daarom geldt, totdat in een volgende versie van dit toepassingsprofiel dan wel in een nader bericht van de beheerder van de TPOD-Standaard anders is bepaald, de werkafspraak ‘</w:t>
                      </w:r>
                      <w:r w:rsidR="00124D6A">
                        <w:t>Gebruik h</w:t>
                      </w:r>
                      <w:r w:rsidRPr="00D575DF">
                        <w:t>et attribuut</w:t>
                      </w:r>
                      <w:r>
                        <w:t xml:space="preserve"> </w:t>
                      </w:r>
                      <w:r w:rsidRPr="003B61BA">
                        <w:rPr>
                          <w:i/>
                          <w:iCs/>
                        </w:rPr>
                        <w:t>hoogte</w:t>
                      </w:r>
                      <w:r>
                        <w:t xml:space="preserve">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