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5279" w14:textId="77777777" w:rsidR="009E7B8F" w:rsidRPr="00F1426F" w:rsidRDefault="00ED47BF" w:rsidP="00205F40">
      <w:pPr>
        <w:pStyle w:val="Kop5"/>
      </w:pPr>
      <w:r w:rsidRPr="00F1426F">
        <w:t>Bodem</w:t>
      </w:r>
    </w:p>
    <w:p w14:paraId="3E9DE1F8" w14:textId="77777777" w:rsidR="009E7B8F" w:rsidRPr="00F1426F" w:rsidRDefault="00ED47BF" w:rsidP="00205F40">
      <w:pPr>
        <w:pStyle w:val="Kop6"/>
      </w:pPr>
      <w:r w:rsidRPr="00F1426F">
        <w:t>Toelichting op de toepassing</w:t>
      </w:r>
    </w:p>
    <w:p w14:paraId="49F2C43B" w14:textId="77777777" w:rsidR="009E7B8F" w:rsidRPr="00F1426F" w:rsidRDefault="00ED47BF" w:rsidP="00205F40">
      <w:r w:rsidRPr="00F1426F">
        <w:t xml:space="preserve">De Gebiedsaanwijzing van het type Bodem wordt gebruikt voor gebieden waar specifieke regels met het oog op de bescherming van de bodemkwaliteit gelden, zoals bodembeheergebieden en stortplaatsen. De Gebiedsaanwijzing </w:t>
      </w:r>
      <w:r>
        <w:t xml:space="preserve">van het type </w:t>
      </w:r>
      <w:r w:rsidRPr="00F1426F">
        <w:t>Bodem kan ook worden gebruikt in visies en programma’s voor het aangeven van gebieden en objecten waar beleidsmatig bijzondere aandacht is voor de kwaliteit van de bodem, inclusief bodemdaling.</w:t>
      </w:r>
    </w:p>
    <w:p w14:paraId="015EDCCF" w14:textId="77777777" w:rsidR="009E7B8F" w:rsidRPr="00F1426F" w:rsidRDefault="00ED47BF" w:rsidP="00205F40">
      <w:r w:rsidRPr="00F1426F">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F49AEB7" w14:textId="77777777" w:rsidR="009E7B8F" w:rsidRPr="00F1426F" w:rsidRDefault="00ED47BF" w:rsidP="00205F40">
      <w:pPr>
        <w:pStyle w:val="Kop6"/>
      </w:pPr>
      <w:r w:rsidRPr="00F1426F">
        <w:t>Definitie</w:t>
      </w:r>
    </w:p>
    <w:p w14:paraId="38C08131" w14:textId="77777777" w:rsidR="009E7B8F" w:rsidRPr="00F1426F" w:rsidRDefault="00ED47BF" w:rsidP="00205F40">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