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9E7B8F" w:rsidRPr="007F28B9" w:rsidRDefault="00ED47BF" w:rsidP="00205F40">
      <w:pPr>
        <w:pStyle w:val="Kop5"/>
      </w:pPr>
      <w:bookmarkStart w:id="302" w:name="_Ref_0b92de96b08e5fad4b5bcbde4269a028_1"/>
      <w:r w:rsidRPr="007F28B9">
        <w:t>Functie</w:t>
      </w:r>
      <w:bookmarkEnd w:id="302"/>
    </w:p>
    <w:p w14:paraId="5DC8661F" w14:textId="77777777" w:rsidR="009E7B8F" w:rsidRPr="007F28B9" w:rsidRDefault="00ED47BF" w:rsidP="00205F40">
      <w:pPr>
        <w:pStyle w:val="Kop6"/>
      </w:pPr>
      <w:r w:rsidRPr="007F28B9">
        <w:t>Toelichting op de toepassing</w:t>
      </w:r>
    </w:p>
    <w:p w14:paraId="6C02A6A6" w14:textId="77777777" w:rsidR="009E7B8F" w:rsidRPr="007F28B9" w:rsidRDefault="00ED47BF"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9E7B8F" w:rsidRPr="007F28B9" w:rsidRDefault="00ED47BF" w:rsidP="00205F40">
      <w:r w:rsidRPr="007F28B9">
        <w:t xml:space="preserve">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t>
      </w:r>
      <w:r w:rsidRPr="007F28B9">
        <w:lastRenderedPageBreak/>
        <w:t>wetgever noemen we dit functie-aanduiding</w:t>
      </w:r>
      <w:r w:rsidRPr="00B26823">
        <w:rPr>
          <w:rStyle w:val="Voetnootmarkering"/>
        </w:rPr>
        <w:footnoteReference w:id="19"/>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9E7B8F" w:rsidRPr="007F28B9" w:rsidRDefault="00ED47BF"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9E7B8F" w:rsidRPr="007F28B9" w:rsidRDefault="00ED47BF" w:rsidP="00205F40">
      <w:r w:rsidRPr="007F28B9">
        <w:t>Op deze manier kan een aantal varianten van het omgevingsplan ontstaan:</w:t>
      </w:r>
    </w:p>
    <w:p w14:paraId="37F441A5" w14:textId="77777777" w:rsidR="009E7B8F" w:rsidRPr="007F28B9" w:rsidRDefault="00ED47BF"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9E7B8F" w:rsidRPr="007F28B9" w:rsidRDefault="00ED47BF"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9E7B8F" w:rsidRPr="007F28B9" w:rsidRDefault="00ED47BF"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9E7B8F" w:rsidRDefault="00ED47BF"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20"/>
      </w:r>
      <w:r>
        <w:t>.</w:t>
      </w:r>
    </w:p>
    <w:p w14:paraId="25904AFE" w14:textId="520FA259" w:rsidR="009E7B8F" w:rsidRDefault="00ED47BF"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21"/>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t xml:space="preserve"> Op grond van artikel 4.35 lid 1 Invoeringswet Omgevingswet geldt e</w:t>
      </w:r>
      <w:r w:rsidRPr="00B21D2D">
        <w:t>en aanwijzing als beschermd stads- of dorpsgezicht als bedoeld in artikel 35 lid</w:t>
      </w:r>
      <w:r>
        <w:t xml:space="preserve"> 1</w:t>
      </w:r>
      <w:r w:rsidRPr="00B21D2D">
        <w:t xml:space="preserve"> Monumentenwet 1988</w:t>
      </w:r>
      <w:r>
        <w:rPr>
          <w:rStyle w:val="Voetnootmarkering"/>
        </w:rPr>
        <w:footnoteReference w:id="22"/>
      </w:r>
      <w:r w:rsidRPr="00B21D2D">
        <w:t xml:space="preserve"> </w:t>
      </w:r>
      <w:r w:rsidRPr="0070184C">
        <w:t>als een instructie als bedoeld in artikel 2.34</w:t>
      </w:r>
      <w:r>
        <w:t xml:space="preserve"> lid 4 Ow. Dat betekent dat de gemeenteraad ook verplicht is om in het omgevingsplan voor in het verleden aangewezen beschermde </w:t>
      </w:r>
      <w:r w:rsidRPr="006E4845">
        <w:t xml:space="preserve">stads- </w:t>
      </w:r>
      <w:r>
        <w:t>en</w:t>
      </w:r>
      <w:r w:rsidRPr="006E4845">
        <w:t xml:space="preserve"> dorpsgezicht</w:t>
      </w:r>
      <w:r>
        <w:t xml:space="preserve">en de </w:t>
      </w:r>
      <w:r w:rsidRPr="00FC1CF5">
        <w:t xml:space="preserve">functieaanduiding rijksbeschermd </w:t>
      </w:r>
      <w:r w:rsidRPr="00FC1CF5">
        <w:lastRenderedPageBreak/>
        <w:t>stads- of dorpsgezicht</w:t>
      </w:r>
      <w:r>
        <w:t xml:space="preserve"> op te nemen. E</w:t>
      </w:r>
      <w:r w:rsidRPr="007F7574">
        <w:t xml:space="preserve">en stads- of dorpsgezicht </w:t>
      </w:r>
      <w:r>
        <w:t xml:space="preserve">is dus </w:t>
      </w:r>
      <w:r w:rsidRPr="007F7574">
        <w:t>alleen een rijksbeschermd stads- of dorpsgezicht als daarvoor in het omgevingsplan de functie-aanduiding rijksbeschermd stads- of dorpsgezicht is opgenomen</w:t>
      </w:r>
      <w:r>
        <w:t xml:space="preserve"> </w:t>
      </w:r>
      <w:r w:rsidRPr="003E78C5">
        <w:t xml:space="preserve">en alleen dan zijn de specifieke regels voor </w:t>
      </w:r>
      <w:r>
        <w:t xml:space="preserve">bouwwerken binnen een </w:t>
      </w:r>
      <w:r w:rsidRPr="00F61887">
        <w:t xml:space="preserve">rijksbeschermd stads- of dorpsgezicht </w:t>
      </w:r>
      <w:r w:rsidRPr="003E78C5">
        <w:t>van het Bbl van toepassing</w:t>
      </w:r>
      <w:r>
        <w:rPr>
          <w:rStyle w:val="Voetnootmarkering"/>
        </w:rPr>
        <w:footnoteReference w:id="23"/>
      </w:r>
      <w:r w:rsidRPr="007F7574">
        <w:t>.</w:t>
      </w:r>
    </w:p>
    <w:p w14:paraId="4A8A5DF4" w14:textId="77777777" w:rsidR="009E7B8F" w:rsidRDefault="009E7B8F" w:rsidP="00205F40"/>
    <w:p w14:paraId="2B99B57C" w14:textId="77777777" w:rsidR="009E7B8F" w:rsidRPr="007B60F8" w:rsidRDefault="00ED47BF"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9E7B8F" w:rsidRPr="007F28B9" w:rsidRDefault="00ED47BF" w:rsidP="00205F40">
      <w:pPr>
        <w:pStyle w:val="Kop6"/>
      </w:pPr>
      <w:r w:rsidRPr="007F28B9">
        <w:t>Definitie</w:t>
      </w:r>
    </w:p>
    <w:p w14:paraId="60D94DA9" w14:textId="77777777" w:rsidR="009E7B8F" w:rsidRPr="007F28B9" w:rsidRDefault="00ED47BF"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