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9E7B8F" w:rsidRPr="007F28B9" w:rsidRDefault="00ED47BF" w:rsidP="00205F40">
      <w:pPr>
        <w:pStyle w:val="Kop5"/>
      </w:pPr>
      <w:r w:rsidRPr="007F28B9">
        <w:t>Geluid</w:t>
      </w:r>
    </w:p>
    <w:p w14:paraId="12658BF1" w14:textId="77777777" w:rsidR="009E7B8F" w:rsidRPr="007F28B9" w:rsidRDefault="00ED47BF" w:rsidP="00205F40">
      <w:pPr>
        <w:pStyle w:val="Kop6"/>
      </w:pPr>
      <w:r w:rsidRPr="007F28B9">
        <w:t>Toelichting op de toepassing</w:t>
      </w:r>
    </w:p>
    <w:p w14:paraId="5CB64A1B" w14:textId="0E14FC8F" w:rsidR="009E7B8F" w:rsidRPr="006819E7" w:rsidRDefault="00ED47BF"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52D232B8" w:rsidR="009E7B8F" w:rsidRPr="007F28B9" w:rsidRDefault="00ED47BF" w:rsidP="00205F40">
      <w:r w:rsidRPr="006819E7">
        <w:t xml:space="preserve">Provincies zullen de Gebiedsaanwijzing van het type Geluid vooral gebruiken voor </w:t>
      </w:r>
      <w:r>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Pr="002B0BFC">
        <w:t>aanwijzen van stille gebieden</w:t>
      </w:r>
      <w:r w:rsidRPr="006819E7">
        <w:t xml:space="preserve">. </w:t>
      </w:r>
      <w:r w:rsidR="00FD6B40" w:rsidRPr="00FD6B40">
        <w:t>Wanneer alle bestuurslagen voor het reguleren van stilte- en stille gebieden gebruik maken van de Gebiedsaanwijzing Geluid en de groep ‘stiltegebied’ kan dat de vindbaarheid van stilte- en stille gebieden bevorderen.</w:t>
      </w:r>
      <w:r w:rsidRPr="007F28B9">
        <w:t xml:space="preserve"> Voor het 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9E7B8F" w:rsidRPr="007F28B9" w:rsidRDefault="00ED47BF" w:rsidP="00205F40">
      <w:pPr>
        <w:pStyle w:val="Kop6"/>
      </w:pPr>
      <w:r w:rsidRPr="007F28B9">
        <w:t>Definitie</w:t>
      </w:r>
    </w:p>
    <w:p w14:paraId="597A83B8" w14:textId="77777777" w:rsidR="009E7B8F" w:rsidRPr="007F28B9" w:rsidRDefault="00ED47BF"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