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17DB7" w14:textId="77777777" w:rsidR="009E7B8F" w:rsidRPr="007F28B9" w:rsidRDefault="00ED47BF" w:rsidP="00205F40">
      <w:pPr>
        <w:pStyle w:val="Kop5"/>
      </w:pPr>
      <w:r w:rsidRPr="007F28B9">
        <w:t>Natuur</w:t>
      </w:r>
    </w:p>
    <w:p w14:paraId="6430BC21" w14:textId="77777777" w:rsidR="009E7B8F" w:rsidRPr="007F28B9" w:rsidRDefault="00ED47BF" w:rsidP="00205F40">
      <w:pPr>
        <w:pStyle w:val="Kop6"/>
      </w:pPr>
      <w:r w:rsidRPr="007F28B9">
        <w:t>Toelichting op de toepassing</w:t>
      </w:r>
    </w:p>
    <w:p w14:paraId="3CAE387F" w14:textId="77777777" w:rsidR="009E7B8F" w:rsidRPr="007F28B9" w:rsidRDefault="00ED47BF" w:rsidP="00205F40">
      <w:r w:rsidRPr="00320EBC">
        <w:t xml:space="preserve">De Gebiedsaanwijzing van het type </w:t>
      </w:r>
      <w:r>
        <w:t>Natuur</w:t>
      </w:r>
      <w:r w:rsidRPr="00320EBC">
        <w:t xml:space="preserve"> wordt gebruikt </w:t>
      </w:r>
      <w:r w:rsidRPr="00E971E2">
        <w:t xml:space="preserve">voor gebieden waar specifieke regels </w:t>
      </w:r>
      <w:r>
        <w:t xml:space="preserve">respectievelijk beleid voor </w:t>
      </w:r>
      <w:r w:rsidRPr="00E971E2">
        <w:t xml:space="preserve">de bescherming van de </w:t>
      </w:r>
      <w:r>
        <w:t xml:space="preserve">natuur </w:t>
      </w:r>
      <w:r w:rsidRPr="00E971E2">
        <w:t>gelden</w:t>
      </w:r>
      <w:r>
        <w:t>.</w:t>
      </w:r>
      <w:r w:rsidRPr="00E971E2">
        <w:t xml:space="preserve"> </w:t>
      </w:r>
      <w:r w:rsidRPr="007F28B9">
        <w:t xml:space="preserve">De Omgevingswet verplicht ertoe om bepaalde gebieden en landschappen aan te wijzen. Het gaat dan bijvoorbeeld om Natura 2000-gebieden, gebieden behorend tot het natuurnetwerk Nederland, nationale parken en bijzondere nationale en provinciale natuurgebieden. Doelen van die aanwijzingen zijn het behoud of herstel van dier- en plantensoorten, van hun biotopen en (natuurlijke) habitats en de preventie en beheersing van de introductie en verspreiding van invasieve uitheemse soorten. Deze gebieden zullen worden aangewezen bij specifieke aanwijzingsbesluiten respectievelijk bij omgevingsverordening. In de omgevingsvisies </w:t>
      </w:r>
      <w:r>
        <w:t xml:space="preserve">en programma’s </w:t>
      </w:r>
      <w:r w:rsidRPr="007F28B9">
        <w:t xml:space="preserve">van het Rijk en de provincies zullen de beleidsuitgangspunten en doelstellingen voor de aanwijzing van die gebieden beschreven worden. Ook voor andere gebieden zal, ter bescherming van de natuur, beleid geformuleerd worden en regels gesteld worden. Dat doen in ieder geval Rijk en provincie.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natuur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Natuur.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2BA394E" w14:textId="77777777" w:rsidR="009E7B8F" w:rsidRPr="007F28B9" w:rsidRDefault="00ED47BF" w:rsidP="00205F40">
      <w:pPr>
        <w:pStyle w:val="Kop6"/>
      </w:pPr>
      <w:r w:rsidRPr="007F28B9">
        <w:t>Definitie</w:t>
      </w:r>
    </w:p>
    <w:p w14:paraId="3D351EA8" w14:textId="77777777" w:rsidR="009E7B8F" w:rsidRPr="007F28B9" w:rsidRDefault="00ED47BF" w:rsidP="00205F40">
      <w:r w:rsidRPr="005744E0">
        <w:t xml:space="preserve">De Gebiedsaanwijzing van het type </w:t>
      </w:r>
      <w:r w:rsidRPr="007F28B9">
        <w:t>Natuur is het objecttype dat machineleesbaar maakt dat een Juridische regel of een Tekstdeel en de bijbehorende Locatie(s) een gebied aanwijzen waar de regels of het beleid gericht zijn op de bescherming van natuur en landschap.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