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ABB9" w14:textId="77777777" w:rsidR="00D756D1" w:rsidRDefault="00D756D1" w:rsidP="00D756D1">
      <w:pPr>
        <w:pStyle w:val="Kop4"/>
      </w:pPr>
      <w:bookmarkStart w:id="355" w:name="_Ref_b714028f7d3a9cb10274ad8eb80f87d2_1"/>
      <w:r>
        <w:t xml:space="preserve">Hergebruik door het kopiëren van </w:t>
      </w:r>
      <w:r w:rsidRPr="00A74804">
        <w:t>OW-objecten</w:t>
      </w:r>
      <w:bookmarkEnd w:id="355"/>
    </w:p>
    <w:p w14:paraId="177DB366" w14:textId="77777777" w:rsidR="00D756D1" w:rsidRDefault="00D756D1" w:rsidP="00D756D1">
      <w:r>
        <w:t>Bij deze methode wordt een</w:t>
      </w:r>
      <w:r w:rsidRPr="00684F87">
        <w:t xml:space="preserve"> </w:t>
      </w:r>
      <w:r>
        <w:t>kopie ge</w:t>
      </w:r>
      <w:r w:rsidRPr="00684F87">
        <w:t>ma</w:t>
      </w:r>
      <w:r>
        <w:t>a</w:t>
      </w:r>
      <w:r w:rsidRPr="00684F87">
        <w:t>k</w:t>
      </w:r>
      <w:r>
        <w:t>t</w:t>
      </w:r>
      <w:r w:rsidRPr="00684F87">
        <w:t xml:space="preserve"> van een OW-object in </w:t>
      </w:r>
      <w:r w:rsidRPr="00D86D64">
        <w:t>Regeling</w:t>
      </w:r>
      <w:r w:rsidRPr="00D86D64" w:rsidDel="00D86D64">
        <w:t xml:space="preserve"> </w:t>
      </w:r>
      <w:r w:rsidRPr="00684F87">
        <w:t xml:space="preserve">A en </w:t>
      </w:r>
      <w:r>
        <w:t xml:space="preserve">wordt </w:t>
      </w:r>
      <w:r w:rsidRPr="00684F87">
        <w:t xml:space="preserve">die kopie in </w:t>
      </w:r>
      <w:r w:rsidRPr="00D86D64">
        <w:t>Regeling</w:t>
      </w:r>
      <w:r w:rsidRPr="00D86D64" w:rsidDel="00D86D64">
        <w:t xml:space="preserve"> </w:t>
      </w:r>
      <w:r w:rsidRPr="00684F87">
        <w:t>B gebruik</w:t>
      </w:r>
      <w:r>
        <w:t xml:space="preserve">t. Dit kan als </w:t>
      </w:r>
      <w:r w:rsidRPr="00C765AF">
        <w:t>Regeling</w:t>
      </w:r>
      <w:r>
        <w:t>en 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OW-object </w:t>
      </w:r>
      <w:r>
        <w:t xml:space="preserve">van een ander </w:t>
      </w:r>
      <w:r w:rsidRPr="00DF4AFD">
        <w:t>bevoegd gezag</w:t>
      </w:r>
      <w:r>
        <w:t xml:space="preserve">) omdat in de OW-object-identificatie de bevoegdgezag-code verweven is. Door hergebruik door het kopiëren van een OW-object hoort </w:t>
      </w:r>
      <w:r w:rsidRPr="0025233C">
        <w:t xml:space="preserve">het gekopieerde OW-object </w:t>
      </w:r>
      <w:r>
        <w:t>bij de Regeling waarin het wordt gebruikt. Deze methode is zonder meer toegestaan. Het hergebruik zal doorgaans (mede) betrekking hebben op een of meer Locaties. Dan zal ook het GIO waarin die Locaties zijn vastgelegd, gekopieerd worden. V</w:t>
      </w:r>
      <w:r w:rsidRPr="00D35531">
        <w:t xml:space="preserve">oor </w:t>
      </w:r>
      <w:r>
        <w:t xml:space="preserve">het kopiëren van OW-Locaties en GIO’s </w:t>
      </w:r>
      <w:r w:rsidRPr="00D35531">
        <w:t>kan gebruik gemaakt worden van de downloadservice die het stelsel ter beschikking stelt.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