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B97D" w14:textId="77777777" w:rsidR="00D756D1" w:rsidRDefault="00D756D1" w:rsidP="00D756D1">
      <w:pPr>
        <w:pStyle w:val="Kop5"/>
      </w:pPr>
      <w:bookmarkStart w:id="362" w:name="_Ref_37e5ca171130c111cba362dfc8ad8db8_1"/>
      <w:r>
        <w:t>Norm</w:t>
      </w:r>
      <w:bookmarkEnd w:id="362"/>
    </w:p>
    <w:p w14:paraId="3F64A323" w14:textId="77777777" w:rsidR="00D756D1" w:rsidRDefault="00D756D1" w:rsidP="00D756D1">
      <w:r>
        <w:t>Voor het verwijzen van OW-objecten naar andere OW-objecten gelden de volgende regels:</w:t>
      </w:r>
    </w:p>
    <w:p w14:paraId="12D34E6F" w14:textId="6B604750" w:rsidR="00D756D1" w:rsidRDefault="00D756D1" w:rsidP="00D756D1">
      <w:pPr>
        <w:pStyle w:val="Opsommingtekens1"/>
      </w:pPr>
      <w:r>
        <w:lastRenderedPageBreak/>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xml:space="preserve">, waarvoor de specifieke regels van paragraaf </w:t>
      </w:r>
      <w:r>
        <w:fldChar w:fldCharType="begin"/>
      </w:r>
      <w:r>
        <w:instrText xml:space="preserve"> REF _Ref150531050 \n \h </w:instrText>
      </w:r>
      <w:r>
        <w:fldChar w:fldCharType="separate"/>
      </w:r>
      <w:r w:rsidR="00224C85">
        <w:rPr>
          <w:b/>
          <w:bCs/>
        </w:rPr>
        <w:fldChar w:fldCharType="begin"/>
      </w:r>
      <w:r w:rsidR="00224C85">
        <w:instrText xml:space="preserve"> REF _Ref_5bc48cbcc56d673051531eadd6253b78_3 \n \h </w:instrText>
      </w:r>
      <w:r w:rsidR="00224C85">
        <w:rPr>
          <w:b/>
          <w:bCs/>
        </w:rPr>
      </w:r>
      <w:r w:rsidR="00224C85">
        <w:rPr>
          <w:b/>
          <w:bCs/>
        </w:rPr>
        <w:fldChar w:fldCharType="separate"/>
      </w:r>
      <w:r w:rsidR="00224C85">
        <w:t>7.6.4.2</w:t>
      </w:r>
      <w:r w:rsidR="00224C85">
        <w:rPr>
          <w:b/>
          <w:bCs/>
        </w:rPr>
        <w:fldChar w:fldCharType="end"/>
      </w:r>
      <w:r>
        <w:fldChar w:fldCharType="end"/>
      </w:r>
      <w:r>
        <w:t xml:space="preserve"> gelden;</w:t>
      </w:r>
    </w:p>
    <w:p w14:paraId="4F74AE32" w14:textId="77777777" w:rsidR="00D756D1" w:rsidRDefault="00D756D1" w:rsidP="00D756D1">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4A4BA501" w14:textId="679CC531" w:rsidR="00D756D1" w:rsidRDefault="00D756D1" w:rsidP="00D756D1">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xml:space="preserve">, waarvoor de specifieke regels van paragraaf </w:t>
      </w:r>
      <w:r>
        <w:fldChar w:fldCharType="begin"/>
      </w:r>
      <w:r>
        <w:instrText xml:space="preserve"> REF _Ref_5bc48cbcc56d673051531eadd6253b78_2 \n \h </w:instrText>
      </w:r>
      <w:r>
        <w:fldChar w:fldCharType="separate"/>
      </w:r>
      <w:r w:rsidR="00224C85">
        <w:fldChar w:fldCharType="begin"/>
      </w:r>
      <w:r w:rsidR="00224C85">
        <w:instrText xml:space="preserve"> REF _Ref_5bc48cbcc56d673051531eadd6253b78_4 \n \h </w:instrText>
      </w:r>
      <w:r w:rsidR="00224C85">
        <w:fldChar w:fldCharType="separate"/>
      </w:r>
      <w:r w:rsidR="00224C85">
        <w:t>7.6.4.2</w:t>
      </w:r>
      <w:r w:rsidR="00224C85">
        <w:fldChar w:fldCharType="end"/>
      </w:r>
      <w:r>
        <w:fldChar w:fldCharType="end"/>
      </w:r>
      <w:r w:rsidRPr="00C85E33">
        <w:t xml:space="preserve"> gelden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