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9E7B8F" w:rsidRDefault="00ED47BF" w:rsidP="00DA44AF">
      <w:pPr>
        <w:pStyle w:val="Kop4"/>
      </w:pPr>
      <w:bookmarkStart w:id="460" w:name="_Ref_3cd2242ab97d8eeb1d547871e91147d0_1"/>
      <w:r>
        <w:t>BesluitMetadata</w:t>
      </w:r>
      <w:bookmarkEnd w:id="460"/>
    </w:p>
    <w:p w14:paraId="1E9D9A7F" w14:textId="77777777" w:rsidR="009E7B8F" w:rsidRDefault="00ED47BF"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9E7B8F" w:rsidRDefault="009E7B8F" w:rsidP="00E43714"/>
    <w:p w14:paraId="75CED25A" w14:textId="77777777" w:rsidR="009E7B8F" w:rsidRDefault="00ED47BF"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9E7B8F" w:rsidRDefault="00ED47BF"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 xml:space="preserve">wordt in de </w:t>
      </w:r>
      <w:r w:rsidRPr="001132B9">
        <w:lastRenderedPageBreak/>
        <w:t>voorzieningen de naam van de gemeente</w:t>
      </w:r>
      <w:r>
        <w:t>, het waterschap, de provincie of het ministerie</w:t>
      </w:r>
      <w:r w:rsidRPr="001132B9">
        <w:t xml:space="preserve"> getoond.</w:t>
      </w:r>
    </w:p>
    <w:p w14:paraId="3DE8B6A7" w14:textId="77777777" w:rsidR="009E7B8F" w:rsidRDefault="00ED47BF"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9E7B8F" w:rsidRDefault="00ED47BF"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9E7B8F" w:rsidRDefault="00ED47BF"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moet gelijk zijn aan het RegelingOpschrift van het besluit.</w:t>
      </w:r>
    </w:p>
    <w:p w14:paraId="2098D462" w14:textId="7052F5EE" w:rsidR="009E7B8F" w:rsidRPr="00FF66D4" w:rsidRDefault="00ED47BF"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element heeftCiteertitelInformatie. Het element 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is gelijk aan de officiële titel en het RegelingOpschrift van het besluit, of, als die erg lang zijn, een verkorte versie daarvan. Het wordt aanbevolen om aan de metadata van het besluit het gegeven citeertitel toe te voegen. De reden daarvoor is als volgt.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instrText xml:space="preserve"> \* MERGEFORMAT </w:instrText>
      </w:r>
      <w:r w:rsidRPr="00FF66D4">
        <w:fldChar w:fldCharType="separate"/>
      </w:r>
      <w:r w:rsidR="001F09B7">
        <w:t>10.3.3</w:t>
      </w:r>
      <w:r w:rsidRPr="00FF66D4">
        <w:fldChar w:fldCharType="end"/>
      </w:r>
      <w:r w:rsidRPr="00FF66D4">
        <w:t>), zou iedere ontwerpregelingversie dezelfde ‘naam’ hebben. Voor een raadpleger is dan niet duidelijk welke ontwerpregeling voor haar of hem interessant is. Daarom zal de DSO-viewer in de toekomst gebruik maken van de citeertitel uit de BesluitMetadata om de verschillende ontwerpregelingen van elkaar te kunnen onderscheiden. Wanneer de citeertitel ontbreekt, zal de DSO-viewer gebruik maken van het gegeven officieleTitel of van het RegelingOpschrift van het besluit.</w:t>
      </w:r>
    </w:p>
    <w:p w14:paraId="1FAF7DAC" w14:textId="221885E0" w:rsidR="009E7B8F" w:rsidRDefault="00ED47BF"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w:t>
      </w:r>
      <w:r>
        <w:lastRenderedPageBreak/>
        <w:t xml:space="preserve">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9E7B8F" w:rsidRDefault="00ED47BF"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6CB5114D" w:rsidR="009E7B8F" w:rsidRDefault="00ED47BF"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1F09B7">
        <w:t>10.3.5</w:t>
      </w:r>
      <w:r>
        <w:fldChar w:fldCharType="end"/>
      </w:r>
      <w:r>
        <w:t xml:space="preserve"> beschikbaar zijn.</w:t>
      </w:r>
    </w:p>
    <w:p w14:paraId="3FD03417" w14:textId="77777777" w:rsidR="009E7B8F" w:rsidRDefault="00ED47BF"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9E7B8F" w:rsidRDefault="00ED47BF"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9E7B8F" w:rsidRDefault="00ED47BF" w:rsidP="00E43714">
      <w:pPr>
        <w:pStyle w:val="Figuurbijschrift"/>
      </w:pPr>
      <w:r w:rsidRPr="005C5500">
        <w:t>Voorbeeld van de grondslag voor</w:t>
      </w:r>
      <w:r>
        <w:t xml:space="preserve"> het omgevingsplan</w:t>
      </w:r>
    </w:p>
    <w:p w14:paraId="1CF59768" w14:textId="7D14A6F0" w:rsidR="009E7B8F" w:rsidRDefault="00ED47BF" w:rsidP="00E43714">
      <w:r>
        <w:t xml:space="preserve">STOP kent naast de hiervoor genoemde BesluitMetadata ook nog de metadata afkortingen en alternatieveTitels. Geadviseerd wordt om deze metadata bij omgevingsdocumenten niet te gebruiken. </w:t>
      </w:r>
      <w:r w:rsidRPr="0044408C">
        <w:t>Ze worden daarom niet verder besproken.</w:t>
      </w:r>
    </w:p>
    <w:p w14:paraId="66EF3376" w14:textId="44FD4F2D" w:rsidR="009E7B8F" w:rsidRDefault="00ED47BF" w:rsidP="00176E32">
      <w:pPr>
        <w:pStyle w:val="Kader"/>
      </w:pPr>
      <w:r w:rsidRPr="00B26823">
        <w:rPr>
          <w:noProof/>
        </w:rPr>
        <w:lastRenderedPageBreak/>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9E7B8F" w:rsidRPr="009A08A2" w:rsidRDefault="00ED47BF" w:rsidP="00176E32">
                            <w:pPr>
                              <w:rPr>
                                <w:b/>
                                <w:bCs/>
                              </w:rPr>
                            </w:pPr>
                            <w:r>
                              <w:rPr>
                                <w:b/>
                                <w:bCs/>
                              </w:rPr>
                              <w:t>Waarschuwing t</w:t>
                            </w:r>
                            <w:r w:rsidRPr="009A08A2">
                              <w:rPr>
                                <w:b/>
                                <w:bCs/>
                              </w:rPr>
                              <w:t xml:space="preserve">oekomstige </w:t>
                            </w:r>
                            <w:r>
                              <w:rPr>
                                <w:b/>
                                <w:bCs/>
                              </w:rPr>
                              <w:t>wijziging TPOD-standaard</w:t>
                            </w:r>
                          </w:p>
                          <w:p w14:paraId="2703BE57" w14:textId="22E1DED0" w:rsidR="009E7B8F" w:rsidRDefault="00ED47BF"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1"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LL92Bz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9E7B8F" w:rsidRPr="009A08A2" w:rsidRDefault="00ED47BF" w:rsidP="00176E32">
                      <w:pPr>
                        <w:rPr>
                          <w:b/>
                          <w:bCs/>
                        </w:rPr>
                      </w:pPr>
                      <w:r>
                        <w:rPr>
                          <w:b/>
                          <w:bCs/>
                        </w:rPr>
                        <w:t>Waarschuwing t</w:t>
                      </w:r>
                      <w:r w:rsidRPr="009A08A2">
                        <w:rPr>
                          <w:b/>
                          <w:bCs/>
                        </w:rPr>
                        <w:t xml:space="preserve">oekomstige </w:t>
                      </w:r>
                      <w:r>
                        <w:rPr>
                          <w:b/>
                          <w:bCs/>
                        </w:rPr>
                        <w:t>wijziging TPOD-standaard</w:t>
                      </w:r>
                    </w:p>
                    <w:p w14:paraId="2703BE57" w14:textId="22E1DED0" w:rsidR="009E7B8F" w:rsidRDefault="00ED47BF"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3"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