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713915" w:rsidRPr="000E40D3" w:rsidRDefault="00713915" w:rsidP="00713915">
      <w:pPr>
        <w:pStyle w:val="Kop3"/>
      </w:pPr>
      <w:bookmarkStart w:id="130" w:name="_Ref_5217c20ff3d19c1d6c59bee58f857416_1"/>
      <w:r w:rsidRPr="000E40D3">
        <w:lastRenderedPageBreak/>
        <w:t>Specificatie van de Vrijetekststructuur</w:t>
      </w:r>
      <w:bookmarkEnd w:id="130"/>
    </w:p>
    <w:p w14:paraId="4EF71B7B" w14:textId="02626638" w:rsidR="00713915" w:rsidRDefault="00713915" w:rsidP="00713915">
      <w:r w:rsidRPr="000E40D3">
        <w:t xml:space="preserve">Zoals in paragraaf </w:t>
      </w:r>
      <w:r w:rsidR="00856E16" w:rsidRPr="00863F41">
        <w:rPr>
          <w:rStyle w:val="Verwijzing"/>
        </w:rPr>
        <w:fldChar w:fldCharType="begin"/>
      </w:r>
      <w:r w:rsidR="00856E16" w:rsidRPr="00863F41">
        <w:rPr>
          <w:rStyle w:val="Verwijzing"/>
        </w:rPr>
        <w:instrText xml:space="preserve"> REF _Ref_822ed09600855c5ac22da8c47916c078_2 \n \h </w:instrText>
      </w:r>
      <w:r w:rsidR="00856E16" w:rsidRPr="00863F41">
        <w:rPr>
          <w:rStyle w:val="Verwijzing"/>
        </w:rPr>
      </w:r>
      <w:r w:rsidR="00856E16" w:rsidRPr="00863F41">
        <w:rPr>
          <w:rStyle w:val="Verwijzing"/>
        </w:rPr>
        <w:fldChar w:fldCharType="separate"/>
      </w:r>
      <w:r w:rsidR="00AF75BD">
        <w:rPr>
          <w:rStyle w:val="Verwijzing"/>
        </w:rPr>
        <w:t>5.1</w:t>
      </w:r>
      <w:r w:rsidR="00856E16" w:rsidRPr="00863F41">
        <w:rPr>
          <w:rStyle w:val="Verwijzing"/>
        </w:rPr>
        <w:fldChar w:fldCharType="end"/>
      </w:r>
      <w:r w:rsidRPr="00B26823">
        <w:t xml:space="preserve"> is beschreven is de Vrijetekststructuur</w:t>
      </w:r>
      <w:r>
        <w:t>:</w:t>
      </w:r>
    </w:p>
    <w:p w14:paraId="78E61054" w14:textId="77777777" w:rsidR="00713915" w:rsidRDefault="00713915" w:rsidP="00713915">
      <w:pPr>
        <w:pStyle w:val="Opsommingtekens1"/>
      </w:pPr>
      <w:r>
        <w:t>de tekststructuur voor het Lichaam van een Regeling van juridisch authentieke documenten die geen artikelen bevat;</w:t>
      </w:r>
    </w:p>
    <w:p w14:paraId="1AEC0B66" w14:textId="457D8773" w:rsidR="00030D6F" w:rsidRDefault="00713915"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12"/>
      </w:r>
      <w:r w:rsidR="004767CE">
        <w:t>.</w:t>
      </w:r>
    </w:p>
    <w:p w14:paraId="726D3DBA" w14:textId="6C7E0B7D" w:rsidR="00713915" w:rsidRDefault="00713915" w:rsidP="00713915"/>
    <w:p w14:paraId="63E60D7E" w14:textId="3256D4E3" w:rsidR="00713915" w:rsidRDefault="00713915"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AF75BD">
        <w:t>de waterschapsverordening</w:t>
      </w:r>
      <w:r w:rsidRPr="007B60F8">
        <w:fldChar w:fldCharType="end"/>
      </w:r>
      <w:r w:rsidRPr="00B26823">
        <w:t xml:space="preserve"> </w:t>
      </w:r>
      <w:r w:rsidRPr="007B60F8">
        <w:t>worden in de navolgende paragrafen beschreven.</w:t>
      </w:r>
    </w:p>
    <w:p w14:paraId="0BA07D9B" w14:textId="77777777" w:rsidR="00713915" w:rsidRDefault="00713915" w:rsidP="00713915"/>
    <w:p w14:paraId="26FF6D31" w14:textId="77777777" w:rsidR="00713915" w:rsidRDefault="00713915"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713915" w:rsidRDefault="00713915" w:rsidP="00713915"/>
    <w:p w14:paraId="7096C2FF" w14:textId="77777777" w:rsidR="00713915" w:rsidRPr="007B60F8" w:rsidRDefault="00713915"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713915" w:rsidRDefault="00713915" w:rsidP="00713915"/>
    <w:p w14:paraId="06309334" w14:textId="4EEB0E8C" w:rsidR="00713915" w:rsidRDefault="00713915" w:rsidP="00713915">
      <w:r>
        <w:t xml:space="preserve">In paragraaf </w:t>
      </w:r>
      <w:r w:rsidR="00F76A3E">
        <w:rPr>
          <w:rStyle w:val="Verwijzing"/>
        </w:rPr>
        <w:fldChar w:fldCharType="begin"/>
      </w:r>
      <w:r w:rsidR="00F76A3E">
        <w:instrText xml:space="preserve"> REF _Ref_c4713d3d633954069922c91989c89315_1 \n \h </w:instrText>
      </w:r>
      <w:r w:rsidR="00F76A3E">
        <w:rPr>
          <w:rStyle w:val="Verwijzing"/>
        </w:rPr>
      </w:r>
      <w:r w:rsidR="00F76A3E">
        <w:rPr>
          <w:rStyle w:val="Verwijzing"/>
        </w:rPr>
        <w:fldChar w:fldCharType="separate"/>
      </w:r>
      <w:r w:rsidR="00AF75BD">
        <w:t>5.3.1</w:t>
      </w:r>
      <w:r w:rsidR="00F76A3E">
        <w:rPr>
          <w:rStyle w:val="Verwijzing"/>
        </w:rPr>
        <w:fldChar w:fldCharType="end"/>
      </w:r>
      <w:r>
        <w:t xml:space="preserve"> is de norm voor de toepassing van de Vrijetekststructuur op </w:t>
      </w:r>
      <w:fldSimple w:instr=" DOCVARIABLE ID01+ ">
        <w:r w:rsidR="00AF75BD">
          <w:t>de waterschapsverordening</w:t>
        </w:r>
      </w:fldSimple>
      <w:r>
        <w:t xml:space="preserve"> vastgelegd: welke elementen moeten respectievelijk mogen worden gebruikt, hoe vaak kunnen ze voorkomen en in welke volgorde. Paragraaf </w:t>
      </w:r>
      <w:r w:rsidR="00F76A3E">
        <w:rPr>
          <w:rStyle w:val="Verwijzing"/>
        </w:rPr>
        <w:fldChar w:fldCharType="begin"/>
      </w:r>
      <w:r w:rsidR="00F76A3E">
        <w:instrText xml:space="preserve"> REF _Ref_6a89189b3fe66cb0ceb6739e36624326_1 \n \h </w:instrText>
      </w:r>
      <w:r w:rsidR="00F76A3E">
        <w:rPr>
          <w:rStyle w:val="Verwijzing"/>
        </w:rPr>
      </w:r>
      <w:r w:rsidR="00F76A3E">
        <w:rPr>
          <w:rStyle w:val="Verwijzing"/>
        </w:rPr>
        <w:fldChar w:fldCharType="separate"/>
      </w:r>
      <w:r w:rsidR="00AF75BD">
        <w:t>5.3.2</w:t>
      </w:r>
      <w:r w:rsidR="00F76A3E">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