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BDF2" w14:textId="533D9E23" w:rsidR="00D723F8" w:rsidRDefault="001D4685" w:rsidP="001D4685">
      <w:pPr>
        <w:pStyle w:val="Kop5"/>
      </w:pPr>
      <w:bookmarkStart w:id="224" w:name="_Ref_1da63897371d3a4f1bf4e0f1b4fb7f8d_1"/>
      <w:bookmarkStart w:id="225" w:name="_Ref_1da63897371d3a4f1bf4e0f1b4fb7f8d_2"/>
      <w:r w:rsidRPr="003E2155">
        <w:lastRenderedPageBreak/>
        <w:t xml:space="preserve">Specifieke </w:t>
      </w:r>
      <w:r>
        <w:t xml:space="preserve">norm voor </w:t>
      </w:r>
      <w:r w:rsidRPr="003E2155">
        <w:t>de bovenliggendeActiviteit-relatie</w:t>
      </w:r>
      <w:bookmarkEnd w:id="224"/>
      <w:bookmarkEnd w:id="225"/>
    </w:p>
    <w:p w14:paraId="75A12B46" w14:textId="5CF9C4F4" w:rsidR="001D4685" w:rsidRDefault="001D4685" w:rsidP="001D4685">
      <w:pPr>
        <w:pStyle w:val="Opsommingtekens1"/>
      </w:pPr>
      <w:r>
        <w:t xml:space="preserve">Voor omgevingsverordening, waterschapsverordening en omgevingsplan geldt, in afwijking van het bepaalde in paragraaf </w:t>
      </w:r>
      <w:r>
        <w:fldChar w:fldCharType="begin"/>
      </w:r>
      <w:r>
        <w:instrText xml:space="preserve"> REF _Ref_75749a0eff0e1209266af3537d773dce_1 \n \h </w:instrText>
      </w:r>
      <w:r>
        <w:fldChar w:fldCharType="separate"/>
      </w:r>
      <w:r w:rsidR="00AF75BD">
        <w:t>7.13.2.1</w:t>
      </w:r>
      <w:r>
        <w:fldChar w:fldCharType="end"/>
      </w:r>
      <w:r>
        <w:t xml:space="preserve">, dat de relatie </w:t>
      </w:r>
      <w:r w:rsidRPr="00141417">
        <w:rPr>
          <w:i/>
          <w:iCs/>
        </w:rPr>
        <w:t>bovenliggendeActiviteit</w:t>
      </w:r>
      <w:r>
        <w:t xml:space="preserve"> van een Activiteit niet zijnde de tophaak uitsluitend mag verwijzen naar een andere Activiteit die hoort bij dezelfde Regeling.</w:t>
      </w:r>
    </w:p>
    <w:p w14:paraId="4306106B" w14:textId="1DCA0D9F" w:rsidR="001D4685" w:rsidRDefault="001D4685" w:rsidP="001D4685">
      <w:pPr>
        <w:pStyle w:val="Opsommingtekens1"/>
      </w:pPr>
      <w:r w:rsidRPr="0042265E">
        <w:t xml:space="preserve">Voor de relatie </w:t>
      </w:r>
      <w:r w:rsidRPr="00141417">
        <w:rPr>
          <w:i/>
          <w:iCs/>
        </w:rPr>
        <w:t>bovenliggendeActiviteit</w:t>
      </w:r>
      <w:r w:rsidRPr="0042265E">
        <w:t xml:space="preserve"> van de tophaken geldt</w:t>
      </w:r>
      <w:r>
        <w:t xml:space="preserve">, in afwijking van het bepaalde in paragraaf </w:t>
      </w:r>
      <w:r>
        <w:fldChar w:fldCharType="begin"/>
      </w:r>
      <w:r>
        <w:instrText xml:space="preserve"> REF _Ref_75749a0eff0e1209266af3537d773dce_1 \n \h </w:instrText>
      </w:r>
      <w:r>
        <w:fldChar w:fldCharType="separate"/>
      </w:r>
      <w:r w:rsidR="00AF75BD">
        <w:t>7.13.2.1</w:t>
      </w:r>
      <w:r>
        <w:fldChar w:fldCharType="end"/>
      </w:r>
      <w:r>
        <w:t>,</w:t>
      </w:r>
      <w:r w:rsidRPr="0042265E">
        <w:t xml:space="preserve"> het volgende:</w:t>
      </w:r>
    </w:p>
    <w:p w14:paraId="5AB0B99A" w14:textId="77777777" w:rsidR="001D4685" w:rsidRDefault="001D4685" w:rsidP="001D4685">
      <w:pPr>
        <w:pStyle w:val="Opsommingtekens2"/>
      </w:pPr>
      <w:r>
        <w:t xml:space="preserve">in de </w:t>
      </w:r>
      <w:r w:rsidRPr="001F7785">
        <w:t>omgevingsverordening</w:t>
      </w:r>
      <w:r>
        <w:t xml:space="preserve"> moet d</w:t>
      </w:r>
      <w:r w:rsidRPr="001F7785">
        <w:t xml:space="preserve">e relatie </w:t>
      </w:r>
      <w:r w:rsidRPr="00141417">
        <w:rPr>
          <w:i/>
          <w:iCs/>
        </w:rPr>
        <w:t>bovenliggendeActiviteit</w:t>
      </w:r>
      <w:r w:rsidRPr="001F7785">
        <w:t xml:space="preserve"> van de tophaak</w:t>
      </w:r>
      <w:r>
        <w:t xml:space="preserve"> </w:t>
      </w:r>
      <w:r w:rsidRPr="001F7785">
        <w:t xml:space="preserve">verwijzen naar de ‘Activiteit gereguleerd in de omgevingsverordening’ in de </w:t>
      </w:r>
      <w:r>
        <w:t>P</w:t>
      </w:r>
      <w:r w:rsidRPr="001F7785">
        <w:t>laceholder</w:t>
      </w:r>
      <w:r>
        <w:t>-Regeling</w:t>
      </w:r>
      <w:r>
        <w:rPr>
          <w:rStyle w:val="Voetnootmarkering"/>
        </w:rPr>
        <w:footnoteReference w:id="13"/>
      </w:r>
      <w:r>
        <w:t>;</w:t>
      </w:r>
    </w:p>
    <w:p w14:paraId="48CD35E4" w14:textId="77777777" w:rsidR="001D4685" w:rsidRDefault="001D4685" w:rsidP="001D4685">
      <w:pPr>
        <w:pStyle w:val="Opsommingtekens2"/>
      </w:pPr>
      <w:r>
        <w:t xml:space="preserve">in </w:t>
      </w:r>
      <w:r w:rsidRPr="003B4348">
        <w:t xml:space="preserve">de waterschapsverordening </w:t>
      </w:r>
      <w:r>
        <w:t>moet</w:t>
      </w:r>
      <w:r w:rsidRPr="003B4348">
        <w:t xml:space="preserve"> de relatie </w:t>
      </w:r>
      <w:r w:rsidRPr="00141417">
        <w:rPr>
          <w:i/>
          <w:iCs/>
        </w:rPr>
        <w:t>bovenliggendeActiviteit</w:t>
      </w:r>
      <w:r w:rsidRPr="003B4348">
        <w:t xml:space="preserve"> van de tophaak moet verwijzen naar de ‘Activiteit gereguleerd in de waterschapsverordening’ in de </w:t>
      </w:r>
      <w:r>
        <w:t>P</w:t>
      </w:r>
      <w:r w:rsidRPr="003B4348">
        <w:t>laceholder</w:t>
      </w:r>
      <w:r w:rsidRPr="00320267">
        <w:t>-Regeling</w:t>
      </w:r>
      <w:r>
        <w:t>;</w:t>
      </w:r>
    </w:p>
    <w:p w14:paraId="441953C2" w14:textId="77777777" w:rsidR="008551E1" w:rsidRDefault="001D4685" w:rsidP="008551E1">
      <w:pPr>
        <w:pStyle w:val="Opsommingtekens2"/>
      </w:pPr>
      <w:r>
        <w:t xml:space="preserve">in </w:t>
      </w:r>
      <w:r w:rsidRPr="009B43A1">
        <w:t xml:space="preserve">het omgevingsplan </w:t>
      </w:r>
      <w:r>
        <w:t>moet</w:t>
      </w:r>
      <w:r w:rsidRPr="003B4348">
        <w:t xml:space="preserve"> de relatie </w:t>
      </w:r>
      <w:r w:rsidRPr="00141417">
        <w:rPr>
          <w:i/>
          <w:iCs/>
        </w:rPr>
        <w:t>bovenliggendeActiviteit</w:t>
      </w:r>
      <w:r w:rsidRPr="003B4348">
        <w:t xml:space="preserve"> van de tophaak moet verwijzen naar de ‘Activiteit gereguleerd in </w:t>
      </w:r>
      <w:r w:rsidRPr="009B43A1">
        <w:t>het omgevingsplan</w:t>
      </w:r>
      <w:r w:rsidRPr="003B4348">
        <w:t xml:space="preserve">’ in de </w:t>
      </w:r>
      <w:r>
        <w:t>P</w:t>
      </w:r>
      <w:r w:rsidRPr="003B4348">
        <w:t>laceholder</w:t>
      </w:r>
      <w:r w:rsidRPr="00320267">
        <w:t>-Regeling</w:t>
      </w:r>
      <w:r>
        <w:t>;</w:t>
      </w:r>
    </w:p>
    <w:p w14:paraId="3CB46D8F" w14:textId="2A135E67" w:rsidR="008551E1" w:rsidRDefault="001D4685" w:rsidP="008551E1">
      <w:pPr>
        <w:pStyle w:val="Opsommingtekens2"/>
      </w:pPr>
      <w:r>
        <w:t xml:space="preserve">in AMvB en ministeriële regeling mag de relatie </w:t>
      </w:r>
      <w:r w:rsidRPr="00141417">
        <w:t>bovenliggendeActiviteit</w:t>
      </w:r>
      <w:r>
        <w:t xml:space="preserve"> van een Activiteit uitsluitend verwijzen naar de ‘Activiteit gereguleerd bij AMvB’ of naar een andere Activiteit die hoort bij de Placeholder</w:t>
      </w:r>
      <w:r w:rsidRPr="00320267">
        <w:t>-Regeling</w:t>
      </w:r>
      <w:r>
        <w:t>, bij een AMvB of bij een ministeriële regeling.</w:t>
      </w:r>
      <w:bookmarkStart w:id="226" w:name="_Ref_1da63897371d3a4f1bf4e0f1b4fb7f8d_3"/>
      <w:bookmarkStart w:id="227" w:name="_Ref_1da63897371d3a4f1bf4e0f1b4fb7f8d_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