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54289EEF" w:rsidR="00605F03" w:rsidRDefault="00605F03" w:rsidP="00DA161C">
      <w:pPr>
        <w:pStyle w:val="Kop4"/>
      </w:pPr>
      <w:bookmarkStart w:id="343" w:name="_Ref_5f5923c73eeef49963506b8244610baf_1"/>
      <w:bookmarkStart w:id="344" w:name="_Ref_5f5923c73eeef49963506b8244610baf_2"/>
      <w:r>
        <w:t>Alternatie</w:t>
      </w:r>
      <w:r w:rsidR="003F1575">
        <w:t>f</w:t>
      </w:r>
      <w:r>
        <w:t xml:space="preserve"> renvooi</w:t>
      </w:r>
      <w:r w:rsidR="003505FA">
        <w:t>: Integrale tekstvervanging</w:t>
      </w:r>
      <w:bookmarkEnd w:id="343"/>
    </w:p>
    <w:p w14:paraId="7135F8AA" w14:textId="61303ACF"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AF75BD">
          <w:t>de waterschapsverordening</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de alternatieve wijzigingsmethode</w:t>
      </w:r>
      <w:r w:rsidR="003719C8">
        <w:t xml:space="preserve"> </w:t>
      </w:r>
      <w:r w:rsidR="007F15ED" w:rsidRPr="007F15ED">
        <w:t xml:space="preserve">Integrale </w:t>
      </w:r>
      <w:r w:rsidR="003719C8">
        <w:t>t</w:t>
      </w:r>
      <w:r w:rsidR="007F15ED" w:rsidRPr="007F15ED">
        <w:t>ekstvervanging</w:t>
      </w:r>
      <w:r w:rsidR="0030439D">
        <w:t xml:space="preserve"> (zie paragraaf </w:t>
      </w:r>
      <w:r w:rsidR="00AA7A65">
        <w:fldChar w:fldCharType="begin"/>
      </w:r>
      <w:r w:rsidR="00AA7A65">
        <w:instrText xml:space="preserve"> REF _Ref_cd63d1ce39fadc58094c87573e0f9219_1 \n \h </w:instrText>
      </w:r>
      <w:r w:rsidR="00AA7A65">
        <w:fldChar w:fldCharType="separate"/>
      </w:r>
      <w:r w:rsidR="00AF75BD">
        <w:t>8.1.2.1</w:t>
      </w:r>
      <w:r w:rsidR="00AA7A65">
        <w:fldChar w:fldCharType="end"/>
      </w:r>
      <w:r w:rsidR="0030439D">
        <w:t>)</w:t>
      </w:r>
      <w:r w:rsidR="003505FA">
        <w:rPr>
          <w:rStyle w:val="Voetnootmarkering"/>
        </w:rPr>
        <w:footnoteReference w:id="17"/>
      </w:r>
      <w:r w:rsidR="007F15ED" w:rsidRPr="007F15ED">
        <w:t>.</w:t>
      </w:r>
      <w:r w:rsidR="002730D1">
        <w:t xml:space="preserve"> Gebruik van deze wijzigingsmethoden stelt bijzondere eisen aan de formulering van het besluit. Die zijn</w:t>
      </w:r>
      <w:r w:rsidR="009A5F40">
        <w:t xml:space="preserve">, met een voorbeeld, het onderwerp van paragraaf </w:t>
      </w:r>
      <w:r w:rsidR="009A5F40">
        <w:fldChar w:fldCharType="begin"/>
      </w:r>
      <w:r w:rsidR="009A5F40">
        <w:instrText xml:space="preserve"> REF _Ref_6ac07a05571b92b454708c26c9d9194f_1 \n \h </w:instrText>
      </w:r>
      <w:r w:rsidR="009A5F40">
        <w:fldChar w:fldCharType="separate"/>
      </w:r>
      <w:r w:rsidR="00AF75BD">
        <w:t>8.1.2.2</w:t>
      </w:r>
      <w:r w:rsidR="009A5F40">
        <w:fldChar w:fldCharType="end"/>
      </w:r>
      <w:r w:rsidR="009A5F4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