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1D3427E9" w:rsidR="002F0D2A" w:rsidRPr="00B26823" w:rsidRDefault="002F0D2A" w:rsidP="002F0D2A">
      <w:pPr>
        <w:pStyle w:val="Kop3"/>
      </w:pPr>
      <w:r w:rsidRPr="000E40D3">
        <w:t xml:space="preserve">Standaardindeling </w:t>
      </w:r>
      <w:r w:rsidRPr="007B60F8">
        <w:fldChar w:fldCharType="begin"/>
      </w:r>
      <w:r w:rsidRPr="000A4B5B">
        <w:instrText>DOCVARIABLE ID01</w:instrText>
      </w:r>
      <w:r w:rsidRPr="007B60F8">
        <w:fldChar w:fldCharType="separate"/>
      </w:r>
      <w:r w:rsidR="00AF75BD">
        <w:t>waterschapsverordening</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