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48A7" w14:textId="77777777" w:rsidR="00440967" w:rsidRDefault="00440967" w:rsidP="00440967">
      <w:pPr>
        <w:pStyle w:val="Kop5"/>
      </w:pPr>
      <w:r>
        <w:t>Terinzageleggen</w:t>
      </w:r>
      <w:r w:rsidRPr="001D53C2">
        <w:t xml:space="preserve"> op </w:t>
      </w:r>
      <w:r>
        <w:t>de zaak</w:t>
      </w:r>
      <w:r w:rsidRPr="001D53C2">
        <w:t xml:space="preserve"> betrekking hebbende stukken</w:t>
      </w:r>
    </w:p>
    <w:p w14:paraId="0D7D1D57" w14:textId="7DCE9D2A" w:rsidR="00440967" w:rsidRDefault="00440967" w:rsidP="00440967">
      <w:r>
        <w:t xml:space="preserve">In paragraaf </w:t>
      </w:r>
      <w:r w:rsidR="00DF305C">
        <w:fldChar w:fldCharType="begin"/>
      </w:r>
      <w:r w:rsidR="00DF305C">
        <w:instrText xml:space="preserve"> REF _Ref_1e6fc56d424c68a015175a43d670db9b_1 \n \h </w:instrText>
      </w:r>
      <w:r w:rsidR="00DF305C">
        <w:fldChar w:fldCharType="separate"/>
      </w:r>
      <w:r w:rsidR="00AF75BD">
        <w:t>10.4.3.1</w:t>
      </w:r>
      <w:r w:rsidR="00DF305C">
        <w:fldChar w:fldCharType="end"/>
      </w:r>
      <w:r>
        <w:t xml:space="preserve"> is al aangegeven dat er voor algemeen verbindende voorschriften zoals de </w:t>
      </w:r>
      <w:r w:rsidR="00433187">
        <w:t>waterschapsverordening</w:t>
      </w:r>
      <w:r>
        <w:t xml:space="preserve"> geen wettelijke verplichting </w:t>
      </w:r>
      <w:r w:rsidRPr="00A36739">
        <w:t>geld</w:t>
      </w:r>
      <w:r>
        <w:t>t</w:t>
      </w:r>
      <w:r w:rsidRPr="00A36739">
        <w:t xml:space="preserve"> </w:t>
      </w:r>
      <w:r>
        <w:t xml:space="preserve">om op de zaak betrekking hebbende stukken ter inzage te leggen. Mogelijk is er bij een besluit tot </w:t>
      </w:r>
      <w:r w:rsidRPr="008D2909">
        <w:t xml:space="preserve">vaststelling of </w:t>
      </w:r>
      <w:r>
        <w:t xml:space="preserve">wijziging van een </w:t>
      </w:r>
      <w:r w:rsidR="00433187">
        <w:t>waterschapsverordening</w:t>
      </w:r>
      <w:r>
        <w:t xml:space="preserve"> </w:t>
      </w:r>
      <w:r w:rsidRPr="003B631F">
        <w:t xml:space="preserve">niet vaak </w:t>
      </w:r>
      <w:r>
        <w:t xml:space="preserve">sprake van </w:t>
      </w:r>
      <w:r w:rsidRPr="00C20C68">
        <w:t>op de zaak betrekking hebbende stukken</w:t>
      </w:r>
      <w:r>
        <w:t xml:space="preserve">, die doorgaans bestaan </w:t>
      </w:r>
      <w:r w:rsidRPr="00FA5659">
        <w:t>uit rapportages van uitgevoerde onderzoeken</w:t>
      </w:r>
      <w:r>
        <w:t>. Wanneer dat wel het geval is, kan</w:t>
      </w:r>
      <w:r w:rsidR="00433187">
        <w:t xml:space="preserve"> het waterschap</w:t>
      </w:r>
      <w:r>
        <w:t xml:space="preserve"> er, ondanks het ontbreken van een wettelijke verplichting, voor kiezen om die stukken ter inzage te leggen. Die terinzagelegging kan dan </w:t>
      </w:r>
      <w:r w:rsidRPr="00C67A8F">
        <w:t>elektronisch</w:t>
      </w:r>
      <w:r>
        <w:t xml:space="preserve"> en/of </w:t>
      </w:r>
      <w:r w:rsidRPr="00C67A8F">
        <w:t>op een fysieke locatie</w:t>
      </w:r>
      <w:r>
        <w:t xml:space="preserve"> plaatsvinden. Als</w:t>
      </w:r>
      <w:r w:rsidR="00433187">
        <w:t xml:space="preserve"> het waterschap</w:t>
      </w:r>
      <w:r>
        <w:t xml:space="preserve"> daarvoor kiest, zal hij ook kennis moeten geven van die terinzagelegging. Bij een </w:t>
      </w:r>
      <w:r>
        <w:lastRenderedPageBreak/>
        <w:t xml:space="preserve">besluit tot vaststelling of wijziging van een </w:t>
      </w:r>
      <w:r w:rsidR="00433187">
        <w:t>waterschapsverordening</w:t>
      </w:r>
      <w:r>
        <w:t xml:space="preserve"> wordt immers geen kennisgeving gedaan van de </w:t>
      </w:r>
      <w:r w:rsidRPr="008621C2">
        <w:t>vaststelling of inwerkingtreding</w:t>
      </w:r>
      <w:r>
        <w:t xml:space="preserve"> van dat besluit waarmee de kennisgeving van terinzagelegging van op de zaak betrekking hebbende stukken gecombineerd zou kunnen worden</w:t>
      </w:r>
      <w:r w:rsidRPr="008621C2">
        <w:t>.</w:t>
      </w:r>
      <w:r>
        <w:t xml:space="preserve"> De kennisgeving van de terinzagelegging van de </w:t>
      </w:r>
      <w:r w:rsidRPr="00004C00">
        <w:t>op de zaak betrekking hebbende stukken</w:t>
      </w:r>
      <w:r>
        <w:t xml:space="preserve"> is het onderwerp van de volgende paragraaf.</w:t>
      </w:r>
    </w:p>
    <w:p w14:paraId="13DB50F3" w14:textId="77777777" w:rsidR="00440967" w:rsidRDefault="00440967" w:rsidP="00440967">
      <w:pPr>
        <w:pStyle w:val="Kader"/>
      </w:pPr>
      <w:r w:rsidRPr="00B26823">
        <w:rPr>
          <w:noProof/>
        </w:rPr>
        <mc:AlternateContent>
          <mc:Choice Requires="wps">
            <w:drawing>
              <wp:inline distT="0" distB="0" distL="0" distR="0" wp14:anchorId="295EB1A0" wp14:editId="30D120F7">
                <wp:extent cx="5400040" cy="985631"/>
                <wp:effectExtent l="0" t="0" r="22860" b="22860"/>
                <wp:docPr id="1415576861" name="Tekstvak 1415576861"/>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44034DE0" w14:textId="77777777" w:rsidR="00440967" w:rsidRPr="00D80A79" w:rsidRDefault="00440967" w:rsidP="00440967">
                            <w:pPr>
                              <w:rPr>
                                <w:b/>
                                <w:bCs/>
                              </w:rPr>
                            </w:pPr>
                            <w:r w:rsidRPr="00D80A79">
                              <w:rPr>
                                <w:b/>
                                <w:bCs/>
                              </w:rPr>
                              <w:t>Toekomstige functionaliteit</w:t>
                            </w:r>
                          </w:p>
                          <w:p w14:paraId="379112F1" w14:textId="247B6741" w:rsidR="00E950AB" w:rsidRDefault="00327267"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539070AE" w14:textId="77777777" w:rsidR="00E950AB" w:rsidRDefault="00E950AB" w:rsidP="003B1642"/>
                          <w:p w14:paraId="673FA7D6" w14:textId="77777777" w:rsidR="00E950AB" w:rsidRPr="006971CB" w:rsidRDefault="00327267" w:rsidP="003B1642">
                            <w:pPr>
                              <w:rPr>
                                <w:b/>
                                <w:bCs/>
                              </w:rPr>
                            </w:pPr>
                            <w:r w:rsidRPr="006971CB">
                              <w:rPr>
                                <w:b/>
                                <w:bCs/>
                              </w:rPr>
                              <w:t>Workaround</w:t>
                            </w:r>
                          </w:p>
                          <w:p w14:paraId="1016BAC6" w14:textId="33218457" w:rsidR="00E950AB" w:rsidRDefault="00327267"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53080556" w14:textId="77777777" w:rsidR="00E950AB" w:rsidRDefault="00327267" w:rsidP="003B1642">
                            <w:pPr>
                              <w:pStyle w:val="Opsommingtekens1"/>
                            </w:pPr>
                            <w:r>
                              <w:t xml:space="preserve">het ontsluit </w:t>
                            </w:r>
                            <w:r w:rsidRPr="00911A9C">
                              <w:t xml:space="preserve">de betreffende stukken op een zelf te bepalen elektronische wijze, bijvoorbeeld via de eigen website, </w:t>
                            </w:r>
                            <w:r>
                              <w:t>of</w:t>
                            </w:r>
                          </w:p>
                          <w:p w14:paraId="75C1920D" w14:textId="77777777" w:rsidR="00E950AB" w:rsidRDefault="00327267"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E0CE673" w14:textId="77777777" w:rsidR="00E950AB" w:rsidRDefault="00E950AB" w:rsidP="003B1642"/>
                          <w:p w14:paraId="258329AE" w14:textId="5903BC9B" w:rsidR="00440967" w:rsidRDefault="00327267"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5313CB">
                              <w:t>in het onderdeel</w:t>
                            </w:r>
                            <w:r w:rsidR="005313CB" w:rsidRPr="000666A4">
                              <w:t xml:space="preserve"> </w:t>
                            </w:r>
                            <w:r w:rsidRPr="000666A4">
                              <w:t>Toelichting</w:t>
                            </w:r>
                            <w:r>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7AC1EAEB" w14:textId="589C0BEE" w:rsidR="00E950AB" w:rsidRPr="0022671B" w:rsidRDefault="00327267" w:rsidP="003B1642">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5EB1A0" id="Tekstvak 1415576861" o:spid="_x0000_s105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ZGiIFDACAABaBAAADgAAAAAAAAAAAAAAAAAuAgAAZHJz&#10;L2Uyb0RvYy54bWxQSwECLQAUAAYACAAAACEALfghbNoAAAAFAQAADwAAAAAAAAAAAAAAAACKBAAA&#10;ZHJzL2Rvd25yZXYueG1sUEsFBgAAAAAEAAQA8wAAAJEFAAAAAA==&#10;" filled="f" strokeweight=".5pt">
                <v:textbox style="mso-fit-shape-to-text:t">
                  <w:txbxContent>
                    <w:p w14:paraId="44034DE0" w14:textId="77777777" w:rsidR="00440967" w:rsidRPr="00D80A79" w:rsidRDefault="00440967" w:rsidP="00440967">
                      <w:pPr>
                        <w:rPr>
                          <w:b/>
                          <w:bCs/>
                        </w:rPr>
                      </w:pPr>
                      <w:r w:rsidRPr="00D80A79">
                        <w:rPr>
                          <w:b/>
                          <w:bCs/>
                        </w:rPr>
                        <w:t>Toekomstige functionaliteit</w:t>
                      </w:r>
                    </w:p>
                    <w:p w14:paraId="379112F1" w14:textId="247B6741" w:rsidR="00E950AB" w:rsidRDefault="00327267"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539070AE" w14:textId="77777777" w:rsidR="00E950AB" w:rsidRDefault="00E950AB" w:rsidP="003B1642"/>
                    <w:p w14:paraId="673FA7D6" w14:textId="77777777" w:rsidR="00E950AB" w:rsidRPr="006971CB" w:rsidRDefault="00327267" w:rsidP="003B1642">
                      <w:pPr>
                        <w:rPr>
                          <w:b/>
                          <w:bCs/>
                        </w:rPr>
                      </w:pPr>
                      <w:r w:rsidRPr="006971CB">
                        <w:rPr>
                          <w:b/>
                          <w:bCs/>
                        </w:rPr>
                        <w:t>Workaround</w:t>
                      </w:r>
                    </w:p>
                    <w:p w14:paraId="1016BAC6" w14:textId="33218457" w:rsidR="00E950AB" w:rsidRDefault="00327267"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53080556" w14:textId="77777777" w:rsidR="00E950AB" w:rsidRDefault="00327267" w:rsidP="003B1642">
                      <w:pPr>
                        <w:pStyle w:val="Opsommingtekens1"/>
                      </w:pPr>
                      <w:r>
                        <w:t xml:space="preserve">het ontsluit </w:t>
                      </w:r>
                      <w:r w:rsidRPr="00911A9C">
                        <w:t xml:space="preserve">de betreffende stukken op een zelf te bepalen elektronische wijze, bijvoorbeeld via de eigen website, </w:t>
                      </w:r>
                      <w:r>
                        <w:t>of</w:t>
                      </w:r>
                    </w:p>
                    <w:p w14:paraId="75C1920D" w14:textId="77777777" w:rsidR="00E950AB" w:rsidRDefault="00327267"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E0CE673" w14:textId="77777777" w:rsidR="00E950AB" w:rsidRDefault="00E950AB" w:rsidP="003B1642"/>
                    <w:p w14:paraId="258329AE" w14:textId="5903BC9B" w:rsidR="00440967" w:rsidRDefault="00327267"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5313CB">
                        <w:t>in het onderdeel</w:t>
                      </w:r>
                      <w:r w:rsidR="005313CB" w:rsidRPr="000666A4">
                        <w:t xml:space="preserve"> </w:t>
                      </w:r>
                      <w:r w:rsidRPr="000666A4">
                        <w:t>Toelichting</w:t>
                      </w:r>
                      <w:r>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7AC1EAEB" w14:textId="589C0BEE" w:rsidR="00E950AB" w:rsidRPr="0022671B" w:rsidRDefault="00327267" w:rsidP="003B1642">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