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AB2172" w:rsidRDefault="00E33EDD" w:rsidP="00E33EDD">
      <w:pPr>
        <w:pStyle w:val="Kop3"/>
        <w:rPr>
          <w:noProof/>
        </w:rPr>
      </w:pPr>
      <w:r w:rsidRPr="00AB2172">
        <w:t xml:space="preserve">Proces van totstandkoming en bekendmaking c.q. publicatie </w:t>
      </w:r>
      <w:r w:rsidRPr="00AB2172">
        <w:t>van</w:t>
      </w:r>
      <w:r w:rsidR="00F452CD" w:rsidRPr="00AB2172">
        <w:t xml:space="preserve"> omgevingsdocumenten</w:t>
      </w:r>
    </w:p>
    <w:p w14:paraId="0ACD6BD6" w14:textId="502C3F7D" w:rsidR="006A159E" w:rsidRPr="00AB2172" w:rsidRDefault="00E33EDD" w:rsidP="006A159E">
      <w:pPr>
        <w:rPr>
          <w:rFonts w:eastAsia="Verdana" w:cs="Verdana"/>
        </w:rPr>
      </w:pPr>
      <w:r w:rsidRPr="00AB2172">
        <w:rPr>
          <w:rFonts w:eastAsia="Verdana" w:cs="Verdana"/>
        </w:rPr>
        <w:t xml:space="preserve">Het proces </w:t>
      </w:r>
      <w:r w:rsidR="0084669E" w:rsidRPr="00AB2172">
        <w:rPr>
          <w:rFonts w:eastAsia="Verdana" w:cs="Verdana"/>
        </w:rPr>
        <w:t xml:space="preserve">van opstellen van omgevingsdocumenten en daarbij toepassen van de STOP/TPOD-Standaarden </w:t>
      </w:r>
      <w:r w:rsidRPr="00AB2172">
        <w:rPr>
          <w:rFonts w:eastAsia="Verdana" w:cs="Verdana"/>
        </w:rPr>
        <w:t>begint intern bij het bevoegd geza</w:t>
      </w:r>
      <w:r w:rsidR="11A64E08" w:rsidRPr="00AB2172">
        <w:rPr>
          <w:rFonts w:eastAsia="Verdana" w:cs="Verdana"/>
        </w:rPr>
        <w:t>g</w:t>
      </w:r>
      <w:r w:rsidRPr="00AB2172">
        <w:rPr>
          <w:rFonts w:eastAsia="Verdana" w:cs="Verdana"/>
        </w:rPr>
        <w:t xml:space="preserve">. </w:t>
      </w:r>
      <w:r w:rsidR="00D006F3" w:rsidRPr="00AB2172">
        <w:rPr>
          <w:rFonts w:eastAsia="Verdana" w:cs="Verdana"/>
        </w:rPr>
        <w:t>Waar</w:t>
      </w:r>
      <w:r w:rsidR="001C5939" w:rsidRPr="00AB2172">
        <w:rPr>
          <w:rFonts w:eastAsia="Verdana" w:cs="Verdana"/>
        </w:rPr>
        <w:t xml:space="preserve"> dat </w:t>
      </w:r>
      <w:r w:rsidR="00D006F3" w:rsidRPr="00AB2172">
        <w:rPr>
          <w:rFonts w:eastAsia="Verdana" w:cs="Verdana"/>
        </w:rPr>
        <w:t xml:space="preserve">relevant is </w:t>
      </w:r>
      <w:r w:rsidR="001C5939" w:rsidRPr="00AB2172">
        <w:rPr>
          <w:rFonts w:eastAsia="Verdana" w:cs="Verdana"/>
        </w:rPr>
        <w:t>voor</w:t>
      </w:r>
      <w:r w:rsidR="009B1705" w:rsidRPr="00AB2172">
        <w:rPr>
          <w:rFonts w:eastAsia="Verdana" w:cs="Verdana"/>
        </w:rPr>
        <w:t xml:space="preserve"> </w:t>
      </w:r>
      <w:r w:rsidR="001C5939" w:rsidRPr="00AB2172">
        <w:rPr>
          <w:rFonts w:eastAsia="Verdana" w:cs="Verdana"/>
        </w:rPr>
        <w:t>het</w:t>
      </w:r>
      <w:r w:rsidR="009B1705" w:rsidRPr="00AB2172">
        <w:rPr>
          <w:rFonts w:eastAsia="Verdana" w:cs="Verdana"/>
        </w:rPr>
        <w:t xml:space="preserve"> </w:t>
      </w:r>
      <w:r w:rsidR="00D006F3" w:rsidRPr="00AB2172">
        <w:rPr>
          <w:rFonts w:eastAsia="Verdana" w:cs="Verdana"/>
        </w:rPr>
        <w:t xml:space="preserve">instrument kan </w:t>
      </w:r>
      <w:r w:rsidRPr="00AB2172">
        <w:rPr>
          <w:rFonts w:eastAsia="Verdana" w:cs="Verdana"/>
        </w:rPr>
        <w:t xml:space="preserve">een informeel deel </w:t>
      </w:r>
      <w:r w:rsidR="00181CD5" w:rsidRPr="00AB2172">
        <w:rPr>
          <w:rFonts w:eastAsia="Verdana" w:cs="Verdana"/>
        </w:rPr>
        <w:t xml:space="preserve">volgen </w:t>
      </w:r>
      <w:r w:rsidRPr="00AB2172">
        <w:rPr>
          <w:rFonts w:eastAsia="Verdana" w:cs="Verdana"/>
        </w:rPr>
        <w:t xml:space="preserve">dat bestaat uit participatie en (voor)overleg. Deze informele fase is vormvrij. In het informele deel van het proces kan een informele versie van het </w:t>
      </w:r>
      <w:r w:rsidR="0044321E" w:rsidRPr="00AB2172">
        <w:rPr>
          <w:rFonts w:eastAsia="Verdana" w:cs="Verdana"/>
        </w:rPr>
        <w:t>o</w:t>
      </w:r>
      <w:r w:rsidR="00F452CD" w:rsidRPr="00AB2172">
        <w:rPr>
          <w:rFonts w:eastAsia="Verdana" w:cs="Verdana"/>
        </w:rPr>
        <w:t>mgevingsdocument</w:t>
      </w:r>
      <w:r w:rsidR="007D692E" w:rsidRPr="00AB2172">
        <w:rPr>
          <w:rFonts w:eastAsia="Verdana" w:cs="Verdana"/>
        </w:rPr>
        <w:t xml:space="preserve"> </w:t>
      </w:r>
      <w:r w:rsidRPr="00AB2172">
        <w:rPr>
          <w:rFonts w:eastAsia="Verdana" w:cs="Verdana"/>
        </w:rPr>
        <w:t>gebruikt worden die aan</w:t>
      </w:r>
      <w:r w:rsidR="0004208F" w:rsidRPr="00AB2172">
        <w:rPr>
          <w:rFonts w:eastAsia="Verdana" w:cs="Verdana"/>
        </w:rPr>
        <w:t xml:space="preserve"> </w:t>
      </w:r>
      <w:r w:rsidRPr="00AB2172">
        <w:rPr>
          <w:rFonts w:eastAsia="Verdana" w:cs="Verdana"/>
        </w:rPr>
        <w:t>de STOP</w:t>
      </w:r>
      <w:r w:rsidR="00042BA4" w:rsidRPr="00AB2172">
        <w:rPr>
          <w:rFonts w:eastAsia="Verdana" w:cs="Verdana"/>
        </w:rPr>
        <w:t>/</w:t>
      </w:r>
      <w:r w:rsidRPr="00AB2172">
        <w:rPr>
          <w:rFonts w:eastAsia="Verdana" w:cs="Verdana"/>
        </w:rPr>
        <w:t>TPOD-</w:t>
      </w:r>
      <w:r w:rsidR="00042BA4" w:rsidRPr="00AB2172">
        <w:rPr>
          <w:rFonts w:eastAsia="Verdana" w:cs="Verdana"/>
        </w:rPr>
        <w:t>S</w:t>
      </w:r>
      <w:r w:rsidRPr="00AB2172">
        <w:rPr>
          <w:rFonts w:eastAsia="Verdana" w:cs="Verdana"/>
        </w:rPr>
        <w:t>tandaarden voldoet</w:t>
      </w:r>
      <w:r w:rsidR="00B009A0" w:rsidRPr="00AB2172">
        <w:rPr>
          <w:rFonts w:eastAsia="Verdana" w:cs="Verdana"/>
        </w:rPr>
        <w:t>, maar dat is niet verplicht</w:t>
      </w:r>
      <w:r w:rsidRPr="00AB2172">
        <w:rPr>
          <w:rFonts w:eastAsia="Verdana" w:cs="Verdana"/>
        </w:rPr>
        <w:t xml:space="preserve">. </w:t>
      </w:r>
      <w:r w:rsidR="005F4E73" w:rsidRPr="00AB2172">
        <w:rPr>
          <w:rFonts w:eastAsia="Verdana" w:cs="Verdana"/>
        </w:rPr>
        <w:t>Met d</w:t>
      </w:r>
      <w:r w:rsidRPr="00AB2172">
        <w:rPr>
          <w:rFonts w:eastAsia="Verdana" w:cs="Verdana"/>
        </w:rPr>
        <w:t xml:space="preserve">e standaarden </w:t>
      </w:r>
      <w:r w:rsidR="005F4E73" w:rsidRPr="00AB2172">
        <w:rPr>
          <w:rFonts w:eastAsia="Verdana" w:cs="Verdana"/>
        </w:rPr>
        <w:t xml:space="preserve">kan </w:t>
      </w:r>
      <w:r w:rsidRPr="00AB2172">
        <w:rPr>
          <w:rFonts w:eastAsia="Verdana" w:cs="Verdana"/>
        </w:rPr>
        <w:t>een conceptversie van</w:t>
      </w:r>
      <w:r w:rsidR="00F452CD" w:rsidRPr="00AB2172">
        <w:rPr>
          <w:rFonts w:eastAsia="Verdana" w:cs="Verdana"/>
        </w:rPr>
        <w:t xml:space="preserve"> omgevingsdocumenten</w:t>
      </w:r>
      <w:r w:rsidRPr="00AB2172">
        <w:rPr>
          <w:rFonts w:eastAsia="Verdana" w:cs="Verdana"/>
        </w:rPr>
        <w:t xml:space="preserve"> </w:t>
      </w:r>
      <w:r w:rsidR="00785B8B" w:rsidRPr="00AB2172">
        <w:rPr>
          <w:rFonts w:eastAsia="Verdana" w:cs="Verdana"/>
        </w:rPr>
        <w:t>gemaakt worden</w:t>
      </w:r>
      <w:r w:rsidRPr="00AB2172">
        <w:rPr>
          <w:rFonts w:eastAsia="Verdana" w:cs="Verdana"/>
        </w:rPr>
        <w:t>.</w:t>
      </w:r>
    </w:p>
    <w:p w14:paraId="3B439E18" w14:textId="10FF5664" w:rsidR="0082593C" w:rsidRPr="00AB2172" w:rsidRDefault="00E33EDD" w:rsidP="00E33EDD">
      <w:pPr>
        <w:rPr>
          <w:rFonts w:eastAsia="Verdana" w:cs="Verdana"/>
        </w:rPr>
      </w:pPr>
      <w:r w:rsidRPr="00AB2172">
        <w:rPr>
          <w:rFonts w:eastAsia="Verdana" w:cs="Verdana"/>
        </w:rPr>
        <w:t xml:space="preserve">Bij het opstellen van het </w:t>
      </w:r>
      <w:r w:rsidR="0044321E" w:rsidRPr="00AB2172">
        <w:rPr>
          <w:rFonts w:eastAsia="Verdana" w:cs="Verdana"/>
        </w:rPr>
        <w:t>o</w:t>
      </w:r>
      <w:r w:rsidR="00F452CD" w:rsidRPr="00AB2172">
        <w:rPr>
          <w:rFonts w:eastAsia="Verdana" w:cs="Verdana"/>
        </w:rPr>
        <w:t>mgevingsdocument</w:t>
      </w:r>
      <w:r w:rsidR="007D692E" w:rsidRPr="00AB2172">
        <w:rPr>
          <w:rFonts w:eastAsia="Verdana" w:cs="Verdana"/>
        </w:rPr>
        <w:t xml:space="preserve"> </w:t>
      </w:r>
      <w:r w:rsidRPr="00AB2172">
        <w:rPr>
          <w:rFonts w:eastAsia="Verdana" w:cs="Verdana"/>
        </w:rPr>
        <w:t>ten behoeve van het formele deel van het proces moet gebruik gemaakt worden van de standaarden STOP en TPOD. De standaarden ondersteunen ook dit opstelproces.</w:t>
      </w:r>
      <w:r w:rsidRPr="00AB2172">
        <w:rPr>
          <w:rFonts w:eastAsia="Verdana" w:cs="Verdana"/>
          <w:szCs w:val="18"/>
        </w:rPr>
        <w:t xml:space="preserve"> </w:t>
      </w:r>
      <w:r w:rsidRPr="00AB2172">
        <w:rPr>
          <w:rFonts w:eastAsia="Verdana" w:cs="Verdana"/>
        </w:rPr>
        <w:t xml:space="preserve">Na het opstellen van het </w:t>
      </w:r>
      <w:r w:rsidR="0044321E" w:rsidRPr="00AB2172">
        <w:rPr>
          <w:rFonts w:eastAsia="Verdana" w:cs="Verdana"/>
        </w:rPr>
        <w:t>omgevingsdocument</w:t>
      </w:r>
      <w:r w:rsidR="007D692E" w:rsidRPr="00AB2172">
        <w:rPr>
          <w:rFonts w:eastAsia="Verdana" w:cs="Verdana"/>
        </w:rPr>
        <w:t xml:space="preserve"> </w:t>
      </w:r>
      <w:r w:rsidRPr="00AB2172">
        <w:rPr>
          <w:rFonts w:eastAsia="Verdana" w:cs="Verdana"/>
        </w:rPr>
        <w:t xml:space="preserve">volgen </w:t>
      </w:r>
      <w:r w:rsidR="00F9217C" w:rsidRPr="00AB2172">
        <w:rPr>
          <w:rFonts w:eastAsia="Verdana" w:cs="Verdana"/>
        </w:rPr>
        <w:t xml:space="preserve">voor </w:t>
      </w:r>
      <w:r w:rsidR="00380ED7" w:rsidRPr="00AB2172">
        <w:rPr>
          <w:rFonts w:eastAsia="Verdana" w:cs="Verdana"/>
        </w:rPr>
        <w:t xml:space="preserve">die instrumenten waarvoor </w:t>
      </w:r>
      <w:r w:rsidR="00835732" w:rsidRPr="00AB2172">
        <w:rPr>
          <w:rFonts w:eastAsia="Verdana" w:cs="Verdana"/>
        </w:rPr>
        <w:t>d</w:t>
      </w:r>
      <w:r w:rsidR="00380ED7" w:rsidRPr="00AB2172">
        <w:rPr>
          <w:rFonts w:eastAsia="Verdana" w:cs="Verdana"/>
        </w:rPr>
        <w:t xml:space="preserve">at </w:t>
      </w:r>
      <w:r w:rsidR="00F9217C" w:rsidRPr="00AB2172">
        <w:rPr>
          <w:rFonts w:eastAsia="Verdana" w:cs="Verdana"/>
        </w:rPr>
        <w:t>van toepassing</w:t>
      </w:r>
      <w:r w:rsidR="00380ED7" w:rsidRPr="00AB2172">
        <w:rPr>
          <w:rFonts w:eastAsia="Verdana" w:cs="Verdana"/>
        </w:rPr>
        <w:t xml:space="preserve"> is</w:t>
      </w:r>
      <w:r w:rsidR="00F9217C" w:rsidRPr="00AB2172">
        <w:rPr>
          <w:rFonts w:eastAsia="Verdana" w:cs="Verdana"/>
        </w:rPr>
        <w:t xml:space="preserve"> </w:t>
      </w:r>
      <w:r w:rsidRPr="00AB2172">
        <w:rPr>
          <w:rFonts w:eastAsia="Verdana" w:cs="Verdana"/>
        </w:rPr>
        <w:t xml:space="preserve">publicatie en kennisgeving van het ontwerp van het </w:t>
      </w:r>
      <w:r w:rsidR="0044321E" w:rsidRPr="00AB2172">
        <w:rPr>
          <w:rFonts w:eastAsia="Verdana" w:cs="Verdana"/>
        </w:rPr>
        <w:t>omgevingsdocument</w:t>
      </w:r>
      <w:r w:rsidR="007D692E" w:rsidRPr="00AB2172">
        <w:rPr>
          <w:rFonts w:eastAsia="Verdana" w:cs="Verdana"/>
        </w:rPr>
        <w:t xml:space="preserve"> </w:t>
      </w:r>
      <w:r w:rsidRPr="00AB2172">
        <w:rPr>
          <w:rFonts w:eastAsia="Verdana" w:cs="Verdana"/>
        </w:rPr>
        <w:t xml:space="preserve">en later publicatie of bekendmaking van het besluit </w:t>
      </w:r>
      <w:r w:rsidR="001C4A5A" w:rsidRPr="00AB2172">
        <w:rPr>
          <w:rFonts w:eastAsia="Verdana" w:cs="Verdana"/>
        </w:rPr>
        <w:t>op overheid.nl</w:t>
      </w:r>
      <w:r w:rsidRPr="00AB2172">
        <w:rPr>
          <w:rFonts w:eastAsia="Verdana" w:cs="Verdana"/>
        </w:rPr>
        <w:t>.</w:t>
      </w:r>
    </w:p>
    <w:p w14:paraId="4EFD8B00" w14:textId="7A281B16" w:rsidR="00E33EDD" w:rsidRPr="00AB2172" w:rsidRDefault="001C4A5A" w:rsidP="00E33EDD">
      <w:pPr>
        <w:rPr>
          <w:rFonts w:eastAsia="Verdana" w:cs="Verdana"/>
        </w:rPr>
      </w:pPr>
      <w:r w:rsidRPr="00AB2172">
        <w:rPr>
          <w:rFonts w:eastAsia="Verdana" w:cs="Verdana"/>
        </w:rPr>
        <w:t>Op overheid.nl</w:t>
      </w:r>
      <w:r w:rsidR="00E33EDD" w:rsidRPr="00AB2172">
        <w:rPr>
          <w:rFonts w:eastAsia="Verdana" w:cs="Verdana"/>
        </w:rPr>
        <w:t xml:space="preserve"> worden alleen ontwerp- en vastgestelde besluiten gepubliceerd respectievelijk bekendgemaakt. Op dit moment is nog niet bekend of, en zo ja waar, zal worden voorzien in een </w:t>
      </w:r>
      <w:r w:rsidR="006E4952" w:rsidRPr="00AB2172">
        <w:rPr>
          <w:rFonts w:eastAsia="Verdana" w:cs="Verdana"/>
        </w:rPr>
        <w:t xml:space="preserve">landelijk beschikbare </w:t>
      </w:r>
      <w:r w:rsidR="00E33EDD" w:rsidRPr="00AB2172">
        <w:rPr>
          <w:rFonts w:eastAsia="Verdana" w:cs="Verdana"/>
        </w:rPr>
        <w:t xml:space="preserve">omgeving waarin ook </w:t>
      </w:r>
      <w:r w:rsidR="00BB6336" w:rsidRPr="00AB2172">
        <w:rPr>
          <w:rFonts w:eastAsia="Verdana" w:cs="Verdana"/>
        </w:rPr>
        <w:t xml:space="preserve">informele versies van </w:t>
      </w:r>
      <w:r w:rsidR="00E33EDD" w:rsidRPr="00AB2172">
        <w:rPr>
          <w:rFonts w:eastAsia="Verdana" w:cs="Verdana"/>
        </w:rPr>
        <w:t>de</w:t>
      </w:r>
      <w:r w:rsidR="00F452CD" w:rsidRPr="00AB2172">
        <w:rPr>
          <w:rFonts w:eastAsia="Verdana" w:cs="Verdana"/>
        </w:rPr>
        <w:t xml:space="preserve"> omgevingsdocumenten</w:t>
      </w:r>
      <w:r w:rsidR="00E33EDD" w:rsidRPr="00AB2172">
        <w:rPr>
          <w:rFonts w:eastAsia="Verdana" w:cs="Verdana"/>
        </w:rPr>
        <w:t xml:space="preserve"> beschikbaar gesteld en geraadpleegd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