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D9EA0" w14:textId="77777777" w:rsidR="00E33EDD" w:rsidRPr="00AB2172" w:rsidRDefault="00E33EDD" w:rsidP="00E33EDD">
      <w:pPr>
        <w:pStyle w:val="Kop4"/>
      </w:pPr>
      <w:r w:rsidRPr="00AB2172">
        <w:t>Toelichting</w:t>
      </w:r>
    </w:p>
    <w:p w14:paraId="6FFB4F17" w14:textId="09B65761" w:rsidR="00E33EDD" w:rsidRPr="00AB2172" w:rsidRDefault="00E33EDD" w:rsidP="00E33EDD">
      <w:r w:rsidRPr="00AB2172">
        <w:fldChar w:fldCharType="begin"/>
      </w:r>
      <w:r w:rsidRPr="00AB2172">
        <w:rPr>
          <w:noProof/>
        </w:rPr>
        <w:instrText xml:space="preserve"> </w:instrText>
      </w:r>
      <w:r w:rsidR="00927E81" w:rsidRPr="00AB2172">
        <w:rPr>
          <w:noProof/>
        </w:rPr>
        <w:instrText>DOCVARIABLE ID01</w:instrText>
      </w:r>
      <w:r w:rsidRPr="00AB2172">
        <w:rPr>
          <w:noProof/>
        </w:rPr>
        <w:instrText xml:space="preserve"> </w:instrText>
      </w:r>
      <w:r w:rsidRPr="00AB2172">
        <w:rPr>
          <w:noProof/>
        </w:rPr>
        <w:fldChar w:fldCharType="separate"/>
      </w:r>
      <w:r w:rsidR="006F52F5">
        <w:rPr>
          <w:noProof/>
        </w:rPr>
        <w:t>Natura 2000-besluiten</w:t>
      </w:r>
      <w:r w:rsidRPr="00AB2172">
        <w:fldChar w:fldCharType="end"/>
      </w:r>
      <w:r w:rsidRPr="00AB2172">
        <w:t xml:space="preserve"> en wijziging</w:t>
      </w:r>
      <w:r w:rsidR="00832944" w:rsidRPr="00AB2172">
        <w:t>en</w:t>
      </w:r>
      <w:r w:rsidRPr="00AB2172">
        <w:t xml:space="preserve"> daarvan bestaa</w:t>
      </w:r>
      <w:r w:rsidR="00832944" w:rsidRPr="00AB2172">
        <w:t>n</w:t>
      </w:r>
      <w:r w:rsidRPr="00AB2172">
        <w:t xml:space="preserve"> uit twee onderdelen.</w:t>
      </w:r>
    </w:p>
    <w:p w14:paraId="0DAEA71F" w14:textId="15FDA8B5" w:rsidR="00E33EDD" w:rsidRPr="00AB2172" w:rsidRDefault="00E33EDD" w:rsidP="000B51C1">
      <w:pPr>
        <w:pStyle w:val="Kop6"/>
      </w:pPr>
      <w:r w:rsidRPr="00AB2172">
        <w:t xml:space="preserve">Deel </w:t>
      </w:r>
      <w:r w:rsidR="008E4C6B">
        <w:t>één</w:t>
      </w:r>
      <w:r w:rsidRPr="00AB2172">
        <w:t xml:space="preserve">: </w:t>
      </w:r>
      <w:r w:rsidR="00F2094E" w:rsidRPr="00AB2172">
        <w:t>inhoudelijk deel</w:t>
      </w:r>
    </w:p>
    <w:p w14:paraId="004E10B4" w14:textId="15B9CF15" w:rsidR="00E33EDD" w:rsidRPr="00AB2172" w:rsidRDefault="00C55CFC" w:rsidP="00A57635">
      <w:r w:rsidRPr="00AB2172">
        <w:t>In het geval van het</w:t>
      </w:r>
      <w:r w:rsidR="00EE646A" w:rsidRPr="00AB2172">
        <w:t xml:space="preserve"> </w:t>
      </w:r>
      <w:r w:rsidR="00334010" w:rsidRPr="00AB2172">
        <w:t>aanwijzingsbesluit</w:t>
      </w:r>
      <w:r w:rsidR="00EE646A" w:rsidRPr="00AB2172">
        <w:t xml:space="preserve"> bestaat dit deel uit </w:t>
      </w:r>
      <w:r w:rsidR="0050512E">
        <w:t>de aanwijzing</w:t>
      </w:r>
      <w:r w:rsidR="00845A7D">
        <w:t xml:space="preserve"> van het Natura 2000-gebied</w:t>
      </w:r>
      <w:r w:rsidR="00C10F60">
        <w:t xml:space="preserve">, </w:t>
      </w:r>
      <w:r w:rsidR="00D859AB" w:rsidRPr="00D859AB">
        <w:t>de aanwijzing van de natuurlijke habitattypen, de (vogel)soorten waarvoor de speciale beschermingszone is aangewezen</w:t>
      </w:r>
      <w:r w:rsidR="00527EF2">
        <w:t>,</w:t>
      </w:r>
      <w:r w:rsidR="00D859AB" w:rsidRPr="00D859AB">
        <w:t xml:space="preserve"> de vastlegging van de instandhoudingsdoelstellingen</w:t>
      </w:r>
      <w:r w:rsidR="009F107A">
        <w:rPr>
          <w:rStyle w:val="Voetnootmarkering"/>
        </w:rPr>
        <w:footnoteReference w:id="15"/>
      </w:r>
      <w:r w:rsidR="00D859AB" w:rsidRPr="00D859AB">
        <w:t xml:space="preserve"> </w:t>
      </w:r>
      <w:r w:rsidR="004C3D4F">
        <w:t xml:space="preserve">en </w:t>
      </w:r>
      <w:r w:rsidR="00EE646A" w:rsidRPr="00AB2172">
        <w:t xml:space="preserve">de </w:t>
      </w:r>
      <w:r w:rsidR="004C3D4F">
        <w:t>geometrische</w:t>
      </w:r>
      <w:r w:rsidR="002E6844" w:rsidRPr="00AB2172">
        <w:t xml:space="preserve"> begrenzing van het Natura 2000-gebied</w:t>
      </w:r>
      <w:r w:rsidR="00F42B1D" w:rsidRPr="00AB2172">
        <w:t xml:space="preserve"> in de vorm van geografische informatieobjecten die de Locaties vastleggen</w:t>
      </w:r>
      <w:r w:rsidR="008F276A">
        <w:t>.</w:t>
      </w:r>
      <w:r w:rsidR="00A57635" w:rsidRPr="00AB2172">
        <w:t xml:space="preserve"> </w:t>
      </w:r>
      <w:r w:rsidR="00C51E9C" w:rsidRPr="00AB2172">
        <w:t xml:space="preserve">Waar nodig </w:t>
      </w:r>
      <w:r w:rsidR="000A0E6E" w:rsidRPr="00AB2172">
        <w:t xml:space="preserve">wordt de begrenzing van het Natura 2000-gebied </w:t>
      </w:r>
      <w:r w:rsidR="00C51E9C" w:rsidRPr="00AB2172">
        <w:t>uitgesplitst in de aanwijzing van de speciale beschermingszone ingevolge de habitatrichtlijn en de aanwijzing van de speciale beschermingszone ingevolge de vogelrichtlijn</w:t>
      </w:r>
      <w:r w:rsidR="000A0E6E" w:rsidRPr="00AB2172">
        <w:t>.</w:t>
      </w:r>
      <w:r w:rsidR="00C51E9C" w:rsidRPr="00AB2172">
        <w:t xml:space="preserve"> </w:t>
      </w:r>
      <w:r w:rsidR="00BD1DB6">
        <w:br/>
        <w:t>Bij</w:t>
      </w:r>
      <w:r w:rsidR="00847B98" w:rsidRPr="00AB2172">
        <w:t xml:space="preserve"> het </w:t>
      </w:r>
      <w:r w:rsidR="00C70920">
        <w:t>toegangsbeperkingsbesluit</w:t>
      </w:r>
      <w:r w:rsidR="00334010" w:rsidRPr="00AB2172">
        <w:t xml:space="preserve"> bestaat dit deel uit </w:t>
      </w:r>
      <w:r w:rsidR="00D0737B" w:rsidRPr="00AB2172">
        <w:t>de regels waarmee de verboden en beperkingen worden vastgelegd</w:t>
      </w:r>
      <w:r w:rsidR="005A0C6F" w:rsidRPr="00AB2172">
        <w:t xml:space="preserve"> </w:t>
      </w:r>
      <w:r w:rsidR="00E33EDD" w:rsidRPr="00AB2172">
        <w:t xml:space="preserve">en de daarbij behorende </w:t>
      </w:r>
      <w:r w:rsidR="00BD0E95" w:rsidRPr="00AB2172">
        <w:t>geografische informatieobjecten die de Locaties vastleggen</w:t>
      </w:r>
      <w:r w:rsidR="00D3570F">
        <w:t xml:space="preserve"> waar die verboden en beperkingen gelden</w:t>
      </w:r>
      <w:r w:rsidR="00280D0B" w:rsidRPr="00AB2172">
        <w:rPr>
          <w:rStyle w:val="Eindnootmarkering"/>
        </w:rPr>
        <w:endnoteReference w:id="2"/>
      </w:r>
      <w:r w:rsidR="00E33EDD" w:rsidRPr="00AB2172">
        <w:t xml:space="preserve">. </w:t>
      </w:r>
      <w:r w:rsidR="00F818AF">
        <w:t>De verboden en beperkingen worden vaak</w:t>
      </w:r>
      <w:r w:rsidR="00DE7532">
        <w:t xml:space="preserve"> vastgelegd door de activiteiten te noemen die in het betreffende gebied niet of juist wel zijn toegestaan. </w:t>
      </w:r>
      <w:r w:rsidR="00E33EDD" w:rsidRPr="00AB2172">
        <w:t>Bij dit deel kunnen bijlagen worden gevoegd.</w:t>
      </w:r>
    </w:p>
    <w:p w14:paraId="4DE384F5" w14:textId="77D9827C" w:rsidR="00E33EDD" w:rsidRPr="00AB2172" w:rsidRDefault="00E33EDD" w:rsidP="00E33EDD">
      <w:r w:rsidRPr="00AB2172">
        <w:t xml:space="preserve">In het geval van een wijzigingsbesluit wordt in dit deel concreet aangegeven op welke wijze </w:t>
      </w:r>
      <w:r w:rsidR="007953DC">
        <w:t xml:space="preserve">het Natura 2000-besluit </w:t>
      </w:r>
      <w:r w:rsidRPr="00AB2172">
        <w:t xml:space="preserve">wordt aangepast. Aangegeven wordt welke artikelen, leden </w:t>
      </w:r>
      <w:r w:rsidR="00E02BF6" w:rsidRPr="00AB2172">
        <w:t>en</w:t>
      </w:r>
      <w:r w:rsidR="00CA5D2D">
        <w:t>/of</w:t>
      </w:r>
      <w:r w:rsidR="00E02BF6" w:rsidRPr="00AB2172">
        <w:t xml:space="preserve"> welke geografische informatieobjecten </w:t>
      </w:r>
      <w:r w:rsidR="00F260E6">
        <w:t xml:space="preserve">geheel </w:t>
      </w:r>
      <w:r w:rsidR="00E02BF6" w:rsidRPr="00AB2172">
        <w:t xml:space="preserve">of </w:t>
      </w:r>
      <w:r w:rsidR="00F260E6">
        <w:t>gedeeltelijk</w:t>
      </w:r>
      <w:r w:rsidR="00E02BF6" w:rsidRPr="00AB2172">
        <w:t xml:space="preserve"> </w:t>
      </w:r>
      <w:r w:rsidRPr="00AB2172">
        <w:t>worden toegevoegd, geschrapt, gewijzigd of vervangen door andere</w:t>
      </w:r>
      <w:r w:rsidR="00D31CAE" w:rsidRPr="00AB2172">
        <w:rPr>
          <w:rStyle w:val="Eindnootmarkering"/>
        </w:rPr>
        <w:endnoteReference w:id="3"/>
      </w:r>
      <w:r w:rsidRPr="00AB2172">
        <w:t xml:space="preserve">. </w:t>
      </w:r>
      <w:r w:rsidR="0079713F" w:rsidRPr="00AB2172">
        <w:t>Bij een wijzigingsbesluit wordt d</w:t>
      </w:r>
      <w:r w:rsidRPr="00AB2172">
        <w:t xml:space="preserve">it deel weergegeven in </w:t>
      </w:r>
      <w:r w:rsidR="00175570" w:rsidRPr="00AB2172">
        <w:t>‘</w:t>
      </w:r>
      <w:r w:rsidR="00527AA5" w:rsidRPr="00AB2172">
        <w:t>renvooiweergave</w:t>
      </w:r>
      <w:r w:rsidR="00175570" w:rsidRPr="00AB2172">
        <w:t>’</w:t>
      </w:r>
      <w:r w:rsidRPr="00AB2172">
        <w:t>; een weergave waarin met visuele middelen wordt duidelijk gemaakt wat wordt toegevoegd of geschrapt.</w:t>
      </w:r>
    </w:p>
    <w:p w14:paraId="4AAE3A10" w14:textId="268CF658" w:rsidR="0017406E" w:rsidRDefault="006E2D14" w:rsidP="00BD4263">
      <w:pPr>
        <w:pStyle w:val="Kop6"/>
      </w:pPr>
      <w:r>
        <w:t>Deel twee: toelichting</w:t>
      </w:r>
    </w:p>
    <w:p w14:paraId="764C762F" w14:textId="23956820" w:rsidR="00B866C0" w:rsidRDefault="007D34C0" w:rsidP="00714605">
      <w:r>
        <w:t xml:space="preserve">Het tweede deel van </w:t>
      </w:r>
      <w:r w:rsidR="0062510A">
        <w:t xml:space="preserve">Natura 2000-besluiten is de (Nota van) toelichting. </w:t>
      </w:r>
      <w:r w:rsidR="0032737B">
        <w:t xml:space="preserve">De toelichting bij het </w:t>
      </w:r>
      <w:r w:rsidR="00C70920">
        <w:t>toegangsbeperkingsbesluit</w:t>
      </w:r>
      <w:r w:rsidR="0032737B">
        <w:t xml:space="preserve"> onderbouwt de noodzaak om de toegang tot het gebied te beperken dan wel te verbieden.</w:t>
      </w:r>
      <w:r w:rsidR="006C39EE">
        <w:t xml:space="preserve"> </w:t>
      </w:r>
      <w:r w:rsidR="00C03FFC">
        <w:t xml:space="preserve">Bij het </w:t>
      </w:r>
      <w:r w:rsidR="00471450">
        <w:t>aanwijzingsbesluit</w:t>
      </w:r>
      <w:r w:rsidR="00C03FFC">
        <w:t xml:space="preserve"> bevat de toelichting een beschrijving van het gebied</w:t>
      </w:r>
      <w:r w:rsidR="00862D8A">
        <w:t xml:space="preserve">, het uitgevoerde onderzoek </w:t>
      </w:r>
      <w:r w:rsidR="00F012F6">
        <w:t xml:space="preserve">en van de </w:t>
      </w:r>
      <w:r w:rsidR="00B5690E">
        <w:t xml:space="preserve">Natura 2000-waarden </w:t>
      </w:r>
      <w:r w:rsidR="00B0288B">
        <w:t>(habitattypen, habitatrichtlijnsoorten</w:t>
      </w:r>
      <w:r w:rsidR="00090D49">
        <w:t xml:space="preserve"> en vogelsoorten) </w:t>
      </w:r>
      <w:r w:rsidR="00B5690E">
        <w:t xml:space="preserve">waarvoor het gebied is aangewezen. </w:t>
      </w:r>
      <w:r w:rsidR="0005781B">
        <w:t>In aanwijzingsbesluiten die zijn genomen op grond van de Wet natuurbescherming</w:t>
      </w:r>
      <w:r w:rsidR="00F7341B">
        <w:t xml:space="preserve"> staan doorgaans ook de instandhoudingsdoelstellingen</w:t>
      </w:r>
      <w:r w:rsidR="00ED240D">
        <w:t xml:space="preserve"> en de exclaveringsformule </w:t>
      </w:r>
      <w:r w:rsidR="008956BA">
        <w:t>(die bestaande bebouwing, erven</w:t>
      </w:r>
      <w:r w:rsidR="00C645BB">
        <w:t>, tuinen, verharding</w:t>
      </w:r>
      <w:r w:rsidR="008956BA">
        <w:t xml:space="preserve"> en hoofdspoorlijnen</w:t>
      </w:r>
      <w:r w:rsidR="00F7341B">
        <w:t xml:space="preserve"> </w:t>
      </w:r>
      <w:r w:rsidR="00C645BB">
        <w:t>uitsluit van de aanwijzing</w:t>
      </w:r>
      <w:r w:rsidR="00843248">
        <w:t xml:space="preserve"> als Natura 2000-gebied</w:t>
      </w:r>
      <w:r w:rsidR="00C645BB">
        <w:t xml:space="preserve">) </w:t>
      </w:r>
      <w:r w:rsidR="00F7341B">
        <w:t>in de toelichting</w:t>
      </w:r>
      <w:r w:rsidR="000C58EF">
        <w:rPr>
          <w:rStyle w:val="Voetnootmarkering"/>
        </w:rPr>
        <w:footnoteReference w:id="16"/>
      </w:r>
      <w:r w:rsidR="00F7341B">
        <w:t>.</w:t>
      </w:r>
    </w:p>
    <w:p w14:paraId="2F80E9B0" w14:textId="6E5EDB90" w:rsidR="004422B5" w:rsidRDefault="004422B5" w:rsidP="00714605">
      <w:r w:rsidRPr="004422B5">
        <w:t xml:space="preserve">Ter ondersteuning van de </w:t>
      </w:r>
      <w:r w:rsidR="00F23EBA">
        <w:t>toelichting</w:t>
      </w:r>
      <w:r w:rsidR="00F23EBA" w:rsidRPr="004422B5">
        <w:t xml:space="preserve"> </w:t>
      </w:r>
      <w:r w:rsidRPr="004422B5">
        <w:t>kunnen bijlagen met onderzoeksgegevens en bescheiden bij dit eerste deel van het vaststellingsbesluit gevoegd zijn.</w:t>
      </w:r>
    </w:p>
    <w:p w14:paraId="16C51A44" w14:textId="77777777" w:rsidR="004422B5" w:rsidRDefault="004422B5" w:rsidP="00714605"/>
    <w:p w14:paraId="18ED03A0" w14:textId="06115C20" w:rsidR="00F47442" w:rsidRDefault="00714605" w:rsidP="00F47442">
      <w:r w:rsidRPr="00AB2172">
        <w:lastRenderedPageBreak/>
        <w:t xml:space="preserve">In paragraaf </w:t>
      </w:r>
      <w:r w:rsidR="00B239F7" w:rsidRPr="004C1E72">
        <w:rPr>
          <w:rStyle w:val="Verwijzing"/>
        </w:rPr>
        <w:fldChar w:fldCharType="begin"/>
      </w:r>
      <w:r w:rsidR="00B239F7" w:rsidRPr="004C1E72">
        <w:rPr>
          <w:rStyle w:val="Verwijzing"/>
        </w:rPr>
        <w:instrText xml:space="preserve"> REF _Ref_bf43034c3e93da3cf753bdee9388b766_1 \n \h </w:instrText>
      </w:r>
      <w:r w:rsidR="00AB2172" w:rsidRPr="004C1E72">
        <w:rPr>
          <w:rStyle w:val="Verwijzing"/>
        </w:rPr>
        <w:instrText xml:space="preserve"> \* MERGEFORMAT </w:instrText>
      </w:r>
      <w:r w:rsidR="00B239F7" w:rsidRPr="004C1E72">
        <w:rPr>
          <w:rStyle w:val="Verwijzing"/>
        </w:rPr>
      </w:r>
      <w:r w:rsidR="00B239F7" w:rsidRPr="004C1E72">
        <w:rPr>
          <w:rStyle w:val="Verwijzing"/>
        </w:rPr>
        <w:fldChar w:fldCharType="separate"/>
      </w:r>
      <w:r w:rsidR="006F52F5" w:rsidRPr="004C1E72">
        <w:rPr>
          <w:rStyle w:val="Verwijzing"/>
        </w:rPr>
        <w:t>7.2</w:t>
      </w:r>
      <w:r w:rsidR="00B239F7" w:rsidRPr="004C1E72">
        <w:rPr>
          <w:rStyle w:val="Verwijzing"/>
        </w:rPr>
        <w:fldChar w:fldCharType="end"/>
      </w:r>
      <w:r w:rsidR="00BE0CE5" w:rsidRPr="00AB2172">
        <w:t xml:space="preserve"> word</w:t>
      </w:r>
      <w:r w:rsidR="00DA3B95" w:rsidRPr="00AB2172">
        <w:t>t</w:t>
      </w:r>
      <w:r w:rsidR="003817A6" w:rsidRPr="00AB2172">
        <w:t xml:space="preserve"> </w:t>
      </w:r>
      <w:r w:rsidR="00DA3B95" w:rsidRPr="00AB2172">
        <w:t xml:space="preserve">de toepassing voor omgevingsdocumenten van </w:t>
      </w:r>
      <w:r w:rsidR="003817A6" w:rsidRPr="00AB2172">
        <w:t>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