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66110" w14:textId="384D9FB7" w:rsidR="004416D3" w:rsidRPr="00F62F31" w:rsidRDefault="00DC26A8" w:rsidP="004416D3">
      <w:pPr>
        <w:pStyle w:val="Kop3"/>
      </w:pPr>
      <w:bookmarkStart w:id="14" w:name="_Ref_83f1e0661911a69e61c6210920831db8_1"/>
      <w:r w:rsidRPr="00F62F31">
        <w:t xml:space="preserve">Algemene kenmerken </w:t>
      </w:r>
      <w:r w:rsidRPr="00F62F31">
        <w:fldChar w:fldCharType="begin"/>
      </w:r>
      <w:r w:rsidRPr="00F62F31">
        <w:instrText xml:space="preserve"> </w:instrText>
      </w:r>
      <w:r>
        <w:instrText>DOCVARIABLE ID01</w:instrText>
      </w:r>
      <w:r w:rsidRPr="00F62F31">
        <w:instrText xml:space="preserve"> </w:instrText>
      </w:r>
      <w:r w:rsidRPr="00F62F31">
        <w:fldChar w:fldCharType="separate"/>
      </w:r>
      <w:r w:rsidR="005F1E03">
        <w:t>AMvB/MR</w:t>
      </w:r>
      <w:r w:rsidRPr="00F62F31">
        <w:fldChar w:fldCharType="end"/>
      </w:r>
      <w:bookmarkEnd w:id="14"/>
    </w:p>
    <w:p w14:paraId="15C66DA9" w14:textId="69BF59A6" w:rsidR="004416D3" w:rsidRPr="00F62F31" w:rsidRDefault="00DC26A8" w:rsidP="004416D3">
      <w:r w:rsidRPr="00F62F31">
        <w:t xml:space="preserve">In </w:t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REF _Ref_83f1e0661911a69e61c6210920831db8_2 \n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Tabel 1</w:t>
      </w:r>
      <w:r w:rsidRPr="003505F6">
        <w:rPr>
          <w:rStyle w:val="Verwijzing"/>
        </w:rPr>
        <w:fldChar w:fldCharType="end"/>
      </w:r>
      <w:r w:rsidRPr="00F62F31">
        <w:t xml:space="preserve"> tot en met </w:t>
      </w:r>
      <w:r w:rsidRPr="003505F6">
        <w:rPr>
          <w:rStyle w:val="Verwijzing"/>
        </w:rPr>
        <w:fldChar w:fldCharType="begin"/>
      </w:r>
      <w:r w:rsidRPr="003505F6">
        <w:rPr>
          <w:rStyle w:val="Verwijzing"/>
        </w:rPr>
        <w:instrText xml:space="preserve"> REF _Ref_83f1e0661911a69e61c6210920831db8_3 \n \h </w:instrText>
      </w:r>
      <w:r w:rsidRPr="003505F6">
        <w:rPr>
          <w:rStyle w:val="Verwijzing"/>
        </w:rPr>
      </w:r>
      <w:r w:rsidRPr="003505F6">
        <w:rPr>
          <w:rStyle w:val="Verwijzing"/>
        </w:rPr>
        <w:fldChar w:fldCharType="separate"/>
      </w:r>
      <w:r w:rsidR="005F1E03" w:rsidRPr="003505F6">
        <w:rPr>
          <w:rStyle w:val="Verwijzing"/>
        </w:rPr>
        <w:t>Tabel 3</w:t>
      </w:r>
      <w:r w:rsidRPr="003505F6">
        <w:rPr>
          <w:rStyle w:val="Verwijzing"/>
        </w:rPr>
        <w:fldChar w:fldCharType="end"/>
      </w:r>
      <w:r w:rsidRPr="00F62F31">
        <w:t xml:space="preserve"> zijn de algemene kenmerken van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F1E03">
        <w:rPr>
          <w:noProof/>
        </w:rPr>
        <w:t>de AMvB/MR</w:t>
      </w:r>
      <w:r w:rsidRPr="00F62F31">
        <w:fldChar w:fldCharType="end"/>
      </w:r>
      <w:r w:rsidRPr="00F62F31">
        <w:t xml:space="preserve"> opgenomen. Deze kenmerken leggen de algemene eigenschappen vast, waarmee informatie over </w:t>
      </w:r>
      <w:r w:rsidRPr="00F62F31">
        <w:fldChar w:fldCharType="begin"/>
      </w:r>
      <w:r w:rsidRPr="00F62F31">
        <w:rPr>
          <w:noProof/>
        </w:rPr>
        <w:instrText xml:space="preserve"> </w:instrText>
      </w:r>
      <w:r>
        <w:rPr>
          <w:noProof/>
        </w:rPr>
        <w:instrText>DOCVARIABLE ID01+</w:instrText>
      </w:r>
      <w:r w:rsidRPr="00F62F31">
        <w:rPr>
          <w:noProof/>
        </w:rPr>
        <w:instrText xml:space="preserve"> </w:instrText>
      </w:r>
      <w:r w:rsidRPr="00F62F31">
        <w:rPr>
          <w:noProof/>
        </w:rPr>
        <w:fldChar w:fldCharType="separate"/>
      </w:r>
      <w:r w:rsidR="005F1E03">
        <w:rPr>
          <w:noProof/>
        </w:rPr>
        <w:t>de AMvB/MR</w:t>
      </w:r>
      <w:r w:rsidRPr="00F62F31">
        <w:fldChar w:fldCharType="end"/>
      </w:r>
      <w:r w:rsidRPr="00F62F31">
        <w:t xml:space="preserve"> wordt bijgehouden. Doel van deze tabellen is het weergeven van de meest essentiële algemene kenmerken van het instrument zodat de lezer het beter kan plaatsen en vergelijken met bestaande instrumenten</w:t>
      </w:r>
      <w:r>
        <w:t>, n</w:t>
      </w:r>
      <w:r w:rsidRPr="00F62F31">
        <w:t>iet om een volledig sluitende beschrijving te geven.</w:t>
      </w:r>
    </w:p>
    <w:p w14:paraId="7869A231" w14:textId="6CF71752" w:rsidR="004416D3" w:rsidRDefault="00DC26A8" w:rsidP="004416D3">
      <w:pPr>
        <w:pStyle w:val="Tabeltitel"/>
      </w:pPr>
      <w:bookmarkStart w:id="15" w:name="_Ref_83f1e0661911a69e61c6210920831db8_2"/>
      <w:r w:rsidRPr="00F62F31">
        <w:lastRenderedPageBreak/>
        <w:t>Juridische kenmerken</w:t>
      </w:r>
      <w:bookmarkEnd w:id="15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832"/>
        <w:gridCol w:w="2832"/>
        <w:gridCol w:w="2830"/>
      </w:tblGrid>
      <w:tr w:rsidR="0037436D" w:rsidRPr="00C23F01" w14:paraId="3D4D1BB1" w14:textId="77777777" w:rsidTr="0044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67" w:type="pct"/>
          </w:tcPr>
          <w:p w14:paraId="781D98C4" w14:textId="77777777" w:rsidR="0037436D" w:rsidRPr="00530648" w:rsidRDefault="0037436D" w:rsidP="004416D3">
            <w:pPr>
              <w:rPr>
                <w:szCs w:val="18"/>
              </w:rPr>
            </w:pPr>
            <w:r w:rsidRPr="00530648">
              <w:rPr>
                <w:szCs w:val="18"/>
              </w:rPr>
              <w:t>Onderwerp</w:t>
            </w:r>
          </w:p>
        </w:tc>
        <w:tc>
          <w:tcPr>
            <w:tcW w:w="1667" w:type="pct"/>
          </w:tcPr>
          <w:p w14:paraId="227A91A3" w14:textId="77777777" w:rsidR="0037436D" w:rsidRPr="00530648" w:rsidRDefault="0037436D" w:rsidP="004416D3">
            <w:pPr>
              <w:rPr>
                <w:szCs w:val="18"/>
              </w:rPr>
            </w:pPr>
            <w:r w:rsidRPr="00530648">
              <w:rPr>
                <w:szCs w:val="18"/>
              </w:rPr>
              <w:t>Specificatie AMvB</w:t>
            </w:r>
          </w:p>
        </w:tc>
        <w:tc>
          <w:tcPr>
            <w:tcW w:w="1666" w:type="pct"/>
          </w:tcPr>
          <w:p w14:paraId="5331EC8F" w14:textId="77777777" w:rsidR="0037436D" w:rsidRPr="00530648" w:rsidRDefault="0037436D" w:rsidP="004416D3">
            <w:pPr>
              <w:rPr>
                <w:szCs w:val="18"/>
              </w:rPr>
            </w:pPr>
            <w:r w:rsidRPr="00530648">
              <w:rPr>
                <w:szCs w:val="18"/>
              </w:rPr>
              <w:t>Specificatie MR</w:t>
            </w:r>
          </w:p>
        </w:tc>
      </w:tr>
      <w:tr w:rsidR="0037436D" w:rsidRPr="00C23F01" w14:paraId="39670B53" w14:textId="77777777" w:rsidTr="004416D3">
        <w:tc>
          <w:tcPr>
            <w:tcW w:w="1667" w:type="pct"/>
          </w:tcPr>
          <w:p w14:paraId="522C24CD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color w:val="000000" w:themeColor="text1"/>
                <w:szCs w:val="18"/>
              </w:rPr>
              <w:t>Grondslag rechtsfiguur</w:t>
            </w:r>
          </w:p>
        </w:tc>
        <w:tc>
          <w:tcPr>
            <w:tcW w:w="1667" w:type="pct"/>
          </w:tcPr>
          <w:p w14:paraId="028C9B9A" w14:textId="3840863C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color w:val="000000" w:themeColor="text1"/>
                <w:szCs w:val="18"/>
              </w:rPr>
              <w:t>diverse artikelen Omgevingswet, of andere wetten of besluiten</w:t>
            </w:r>
          </w:p>
        </w:tc>
        <w:tc>
          <w:tcPr>
            <w:tcW w:w="1666" w:type="pct"/>
          </w:tcPr>
          <w:p w14:paraId="673A0F3A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 xml:space="preserve">diverse artikelen Omgevingswet </w:t>
            </w:r>
            <w:r w:rsidRPr="00C23F01">
              <w:rPr>
                <w:color w:val="000000" w:themeColor="text1"/>
                <w:szCs w:val="18"/>
              </w:rPr>
              <w:t>of andere wetten of besluiten</w:t>
            </w:r>
            <w:r w:rsidRPr="00C23F01" w:rsidDel="008B045D">
              <w:rPr>
                <w:szCs w:val="18"/>
              </w:rPr>
              <w:t xml:space="preserve"> </w:t>
            </w:r>
          </w:p>
        </w:tc>
      </w:tr>
      <w:tr w:rsidR="0037436D" w:rsidRPr="00C23F01" w14:paraId="0E2D1E39" w14:textId="77777777" w:rsidTr="004416D3">
        <w:tc>
          <w:tcPr>
            <w:tcW w:w="1667" w:type="pct"/>
          </w:tcPr>
          <w:p w14:paraId="412A452C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color w:val="000000" w:themeColor="text1"/>
                <w:szCs w:val="18"/>
              </w:rPr>
              <w:t>Voorbereidingsprocedure</w:t>
            </w:r>
          </w:p>
        </w:tc>
        <w:tc>
          <w:tcPr>
            <w:tcW w:w="1667" w:type="pct"/>
          </w:tcPr>
          <w:p w14:paraId="0DAC708B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>
              <w:rPr>
                <w:szCs w:val="18"/>
              </w:rPr>
              <w:t xml:space="preserve">Nee, </w:t>
            </w:r>
            <w:r w:rsidRPr="00C23F01">
              <w:rPr>
                <w:szCs w:val="18"/>
              </w:rPr>
              <w:t>afdeling 3.4 Awb niet van toepassing</w:t>
            </w:r>
          </w:p>
        </w:tc>
        <w:tc>
          <w:tcPr>
            <w:tcW w:w="1666" w:type="pct"/>
          </w:tcPr>
          <w:p w14:paraId="2B6649E2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>
              <w:rPr>
                <w:szCs w:val="18"/>
              </w:rPr>
              <w:t xml:space="preserve">Nee, </w:t>
            </w:r>
            <w:r w:rsidRPr="00C23F01">
              <w:rPr>
                <w:szCs w:val="18"/>
              </w:rPr>
              <w:t>afdeling 3.4 Awb niet van toepassing</w:t>
            </w:r>
          </w:p>
        </w:tc>
      </w:tr>
      <w:tr w:rsidR="0037436D" w:rsidRPr="00C23F01" w14:paraId="77D1F91B" w14:textId="77777777" w:rsidTr="004416D3">
        <w:tc>
          <w:tcPr>
            <w:tcW w:w="1667" w:type="pct"/>
          </w:tcPr>
          <w:p w14:paraId="73ED303E" w14:textId="77777777" w:rsidR="0037436D" w:rsidRPr="00C23F01" w:rsidRDefault="0037436D" w:rsidP="004416D3">
            <w:pPr>
              <w:rPr>
                <w:szCs w:val="18"/>
              </w:rPr>
            </w:pPr>
            <w:r>
              <w:rPr>
                <w:szCs w:val="18"/>
              </w:rPr>
              <w:t>Consultatie</w:t>
            </w:r>
          </w:p>
        </w:tc>
        <w:tc>
          <w:tcPr>
            <w:tcW w:w="1667" w:type="pct"/>
          </w:tcPr>
          <w:p w14:paraId="6D60BBEC" w14:textId="1E6A7D52" w:rsidR="0037436D" w:rsidRPr="00C23F01" w:rsidRDefault="0037436D" w:rsidP="004416D3">
            <w:pPr>
              <w:rPr>
                <w:szCs w:val="18"/>
              </w:rPr>
            </w:pPr>
            <w:r>
              <w:rPr>
                <w:szCs w:val="18"/>
              </w:rPr>
              <w:t>Eenieder wordt langs elektronische weg in de gelegenheid gesteld gedurende een periode van ten minste vier weken opmerkingen te maken</w:t>
            </w:r>
          </w:p>
        </w:tc>
        <w:tc>
          <w:tcPr>
            <w:tcW w:w="1666" w:type="pct"/>
          </w:tcPr>
          <w:p w14:paraId="33164140" w14:textId="76567E3D" w:rsidR="0037436D" w:rsidRPr="00C23F01" w:rsidRDefault="0037436D" w:rsidP="004416D3">
            <w:pPr>
              <w:rPr>
                <w:szCs w:val="18"/>
              </w:rPr>
            </w:pPr>
            <w:r>
              <w:rPr>
                <w:szCs w:val="18"/>
              </w:rPr>
              <w:t>Eenieder wordt langs elektronische weg in de gelegenheid gesteld gedurende een periode van ten minste vier weken opmerkingen te maken</w:t>
            </w:r>
          </w:p>
        </w:tc>
      </w:tr>
      <w:tr w:rsidR="00EE64C2" w:rsidRPr="00C23F01" w14:paraId="0D9497FA" w14:textId="77777777" w:rsidTr="004416D3">
        <w:tc>
          <w:tcPr>
            <w:tcW w:w="1667" w:type="pct"/>
          </w:tcPr>
          <w:p w14:paraId="4B5F6275" w14:textId="284281B0" w:rsidR="00EE64C2" w:rsidRDefault="00EE64C2" w:rsidP="004416D3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Wijze van bekendmaking</w:t>
            </w:r>
          </w:p>
        </w:tc>
        <w:tc>
          <w:tcPr>
            <w:tcW w:w="1667" w:type="pct"/>
          </w:tcPr>
          <w:p w14:paraId="255105F0" w14:textId="716B6188" w:rsidR="00EE64C2" w:rsidRDefault="00FF28F1" w:rsidP="004416D3">
            <w:r w:rsidRPr="00FF28F1">
              <w:t>Bekendmaking door plaatsing van het volledige besluit in het</w:t>
            </w:r>
            <w:r>
              <w:t xml:space="preserve"> Staatsblad</w:t>
            </w:r>
          </w:p>
        </w:tc>
        <w:tc>
          <w:tcPr>
            <w:tcW w:w="1666" w:type="pct"/>
          </w:tcPr>
          <w:p w14:paraId="305D7D17" w14:textId="0FA5D795" w:rsidR="00EE64C2" w:rsidRDefault="00FF28F1" w:rsidP="004416D3">
            <w:pPr>
              <w:rPr>
                <w:szCs w:val="18"/>
              </w:rPr>
            </w:pPr>
            <w:r w:rsidRPr="00FF28F1">
              <w:rPr>
                <w:szCs w:val="18"/>
              </w:rPr>
              <w:t xml:space="preserve">Bekendmaking door plaatsing van het volledige besluit in </w:t>
            </w:r>
            <w:r>
              <w:rPr>
                <w:szCs w:val="18"/>
              </w:rPr>
              <w:t>de Staatscourant</w:t>
            </w:r>
          </w:p>
        </w:tc>
      </w:tr>
      <w:tr w:rsidR="0037436D" w:rsidRPr="00C23F01" w14:paraId="049631CF" w14:textId="77777777" w:rsidTr="004416D3">
        <w:tc>
          <w:tcPr>
            <w:tcW w:w="1667" w:type="pct"/>
          </w:tcPr>
          <w:p w14:paraId="4E8D56E6" w14:textId="66A87DE4" w:rsidR="0037436D" w:rsidRPr="00C23F01" w:rsidRDefault="00C00D8A" w:rsidP="004416D3">
            <w:pPr>
              <w:rPr>
                <w:color w:val="000000" w:themeColor="text1"/>
                <w:szCs w:val="18"/>
              </w:rPr>
            </w:pPr>
            <w:r>
              <w:rPr>
                <w:color w:val="000000" w:themeColor="text1"/>
                <w:szCs w:val="18"/>
              </w:rPr>
              <w:t>Tijdstip</w:t>
            </w:r>
            <w:r w:rsidR="0069208A">
              <w:rPr>
                <w:color w:val="000000" w:themeColor="text1"/>
                <w:szCs w:val="18"/>
              </w:rPr>
              <w:t xml:space="preserve"> i</w:t>
            </w:r>
            <w:r w:rsidR="0037436D" w:rsidRPr="00C23F01">
              <w:rPr>
                <w:color w:val="000000" w:themeColor="text1"/>
                <w:szCs w:val="18"/>
              </w:rPr>
              <w:t>nwerkingtreding</w:t>
            </w:r>
          </w:p>
        </w:tc>
        <w:tc>
          <w:tcPr>
            <w:tcW w:w="1667" w:type="pct"/>
          </w:tcPr>
          <w:p w14:paraId="1F4B9BFC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>
              <w:t xml:space="preserve">Wordt geregeld in het omgevingsdocument zelf, of in een afzonderlijk besluit. Als het niet geregeld is </w:t>
            </w:r>
            <w:r w:rsidRPr="00D25445">
              <w:t>de eerste dag van de tweede kalendermaand na de datum van uitgifte van het Staatsblad</w:t>
            </w:r>
          </w:p>
        </w:tc>
        <w:tc>
          <w:tcPr>
            <w:tcW w:w="1666" w:type="pct"/>
          </w:tcPr>
          <w:p w14:paraId="32ABD1A3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>
              <w:rPr>
                <w:szCs w:val="18"/>
              </w:rPr>
              <w:t>Wordt geregeld in de MR zelf.</w:t>
            </w:r>
          </w:p>
        </w:tc>
      </w:tr>
      <w:tr w:rsidR="0037436D" w:rsidRPr="00C23F01" w14:paraId="5FCD330E" w14:textId="77777777" w:rsidTr="004416D3">
        <w:tc>
          <w:tcPr>
            <w:tcW w:w="1667" w:type="pct"/>
          </w:tcPr>
          <w:p w14:paraId="110192A4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Rechtsbescherming</w:t>
            </w:r>
          </w:p>
        </w:tc>
        <w:tc>
          <w:tcPr>
            <w:tcW w:w="1667" w:type="pct"/>
          </w:tcPr>
          <w:p w14:paraId="04635926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geen bezwaar en beroep mogelijk</w:t>
            </w:r>
          </w:p>
        </w:tc>
        <w:tc>
          <w:tcPr>
            <w:tcW w:w="1666" w:type="pct"/>
          </w:tcPr>
          <w:p w14:paraId="725FC9CA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geen bezwaar en beroep mogelijk</w:t>
            </w:r>
          </w:p>
        </w:tc>
      </w:tr>
      <w:tr w:rsidR="0037436D" w:rsidRPr="00C23F01" w14:paraId="7FB4B391" w14:textId="77777777" w:rsidTr="004416D3">
        <w:tc>
          <w:tcPr>
            <w:tcW w:w="1667" w:type="pct"/>
          </w:tcPr>
          <w:p w14:paraId="5E2C96D9" w14:textId="77777777" w:rsidR="0037436D" w:rsidRPr="00C23F01" w:rsidRDefault="0037436D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Geldt toepassingsprofiel ook voor ontwerpbesluit</w:t>
            </w:r>
          </w:p>
        </w:tc>
        <w:tc>
          <w:tcPr>
            <w:tcW w:w="1667" w:type="pct"/>
          </w:tcPr>
          <w:p w14:paraId="6FA3D8D9" w14:textId="77777777" w:rsidR="0037436D" w:rsidRPr="00C23F01" w:rsidRDefault="0037436D" w:rsidP="004416D3">
            <w:pPr>
              <w:spacing w:line="240" w:lineRule="exact"/>
              <w:rPr>
                <w:color w:val="000000" w:themeColor="text1"/>
                <w:szCs w:val="18"/>
              </w:rPr>
            </w:pPr>
            <w:r>
              <w:rPr>
                <w:szCs w:val="18"/>
              </w:rPr>
              <w:t>Nee</w:t>
            </w:r>
          </w:p>
        </w:tc>
        <w:tc>
          <w:tcPr>
            <w:tcW w:w="1666" w:type="pct"/>
          </w:tcPr>
          <w:p w14:paraId="7BC2EAC0" w14:textId="77777777" w:rsidR="0037436D" w:rsidRPr="00C23F01" w:rsidRDefault="0037436D" w:rsidP="004416D3">
            <w:pPr>
              <w:spacing w:line="240" w:lineRule="exact"/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Ja</w:t>
            </w:r>
          </w:p>
        </w:tc>
      </w:tr>
      <w:tr w:rsidR="0037436D" w:rsidRPr="00C23F01" w14:paraId="5E8C9EA0" w14:textId="77777777" w:rsidTr="004416D3">
        <w:tc>
          <w:tcPr>
            <w:tcW w:w="1667" w:type="pct"/>
          </w:tcPr>
          <w:p w14:paraId="5259D090" w14:textId="0BB84BCC" w:rsidR="0037436D" w:rsidRPr="00C23F01" w:rsidRDefault="0037436D" w:rsidP="004416D3">
            <w:pPr>
              <w:rPr>
                <w:szCs w:val="18"/>
              </w:rPr>
            </w:pPr>
            <w:r w:rsidRPr="00C23F01">
              <w:rPr>
                <w:szCs w:val="18"/>
              </w:rPr>
              <w:t>Rechtsfiguur roept meldingsplicht of vergunningplicht in het leven</w:t>
            </w:r>
          </w:p>
        </w:tc>
        <w:tc>
          <w:tcPr>
            <w:tcW w:w="1667" w:type="pct"/>
          </w:tcPr>
          <w:p w14:paraId="5AA30D23" w14:textId="01EB696E" w:rsidR="0037436D" w:rsidRPr="00C23F01" w:rsidRDefault="0037436D" w:rsidP="004416D3">
            <w:pPr>
              <w:spacing w:line="240" w:lineRule="exact"/>
              <w:rPr>
                <w:szCs w:val="18"/>
              </w:rPr>
            </w:pPr>
            <w:r w:rsidRPr="00C23F01">
              <w:rPr>
                <w:szCs w:val="18"/>
              </w:rPr>
              <w:t>Ja, bij AMvB kunnen activiteiten worden aangewezen waarvoor een vergunningplicht, al dan niet een meldingsplicht geldt</w:t>
            </w:r>
          </w:p>
        </w:tc>
        <w:tc>
          <w:tcPr>
            <w:tcW w:w="1666" w:type="pct"/>
          </w:tcPr>
          <w:p w14:paraId="3C3BD5FA" w14:textId="77777777" w:rsidR="0037436D" w:rsidRPr="00C23F01" w:rsidRDefault="0037436D" w:rsidP="004416D3">
            <w:pPr>
              <w:spacing w:line="240" w:lineRule="exact"/>
              <w:rPr>
                <w:szCs w:val="18"/>
              </w:rPr>
            </w:pPr>
            <w:r w:rsidRPr="00C23F01">
              <w:rPr>
                <w:szCs w:val="18"/>
              </w:rPr>
              <w:t>Nee</w:t>
            </w:r>
          </w:p>
        </w:tc>
      </w:tr>
      <w:tr w:rsidR="0037436D" w:rsidRPr="00C23F01" w14:paraId="3AB6A8F2" w14:textId="77777777" w:rsidTr="004416D3">
        <w:tc>
          <w:tcPr>
            <w:tcW w:w="1667" w:type="pct"/>
          </w:tcPr>
          <w:p w14:paraId="53AE52EA" w14:textId="77777777" w:rsidR="0037436D" w:rsidRPr="00C23F01" w:rsidRDefault="0037436D" w:rsidP="004416D3">
            <w:pPr>
              <w:rPr>
                <w:szCs w:val="18"/>
              </w:rPr>
            </w:pPr>
            <w:r w:rsidRPr="00C23F01">
              <w:rPr>
                <w:szCs w:val="18"/>
              </w:rPr>
              <w:t>Rechtsfiguur bevat bepalingen waaraan aanvragen om omgevingsvergunning rechtstreeks getoetst moeten worden</w:t>
            </w:r>
          </w:p>
        </w:tc>
        <w:tc>
          <w:tcPr>
            <w:tcW w:w="1667" w:type="pct"/>
          </w:tcPr>
          <w:p w14:paraId="61AFBF56" w14:textId="702011F2" w:rsidR="0037436D" w:rsidRPr="00C23F01" w:rsidRDefault="0037436D" w:rsidP="004416D3">
            <w:pPr>
              <w:spacing w:line="240" w:lineRule="exact"/>
              <w:rPr>
                <w:szCs w:val="18"/>
              </w:rPr>
            </w:pPr>
            <w:r w:rsidRPr="00C23F01">
              <w:rPr>
                <w:szCs w:val="18"/>
              </w:rPr>
              <w:t>Ja, AMvB bevat rechtstreeks werkende regels waar vergunningaanvragen aan getoetst moeten worden</w:t>
            </w:r>
          </w:p>
        </w:tc>
        <w:tc>
          <w:tcPr>
            <w:tcW w:w="1666" w:type="pct"/>
          </w:tcPr>
          <w:p w14:paraId="2E4C2866" w14:textId="2C9EED8D" w:rsidR="0037436D" w:rsidRPr="00C61EBC" w:rsidRDefault="0037436D" w:rsidP="004416D3">
            <w:pPr>
              <w:tabs>
                <w:tab w:val="left" w:pos="615"/>
              </w:tabs>
              <w:rPr>
                <w:szCs w:val="18"/>
              </w:rPr>
            </w:pPr>
            <w:r w:rsidRPr="00C23F01">
              <w:rPr>
                <w:szCs w:val="18"/>
              </w:rPr>
              <w:t xml:space="preserve">Ja, </w:t>
            </w:r>
            <w:r>
              <w:rPr>
                <w:szCs w:val="18"/>
              </w:rPr>
              <w:t>MR</w:t>
            </w:r>
            <w:r w:rsidRPr="00C23F01">
              <w:rPr>
                <w:szCs w:val="18"/>
              </w:rPr>
              <w:t xml:space="preserve"> bevat rechtstreeks werkende regels waar vergunningaanvragen aan getoetst moeten worden</w:t>
            </w:r>
          </w:p>
        </w:tc>
      </w:tr>
      <w:tr w:rsidR="0037436D" w:rsidRPr="00C23F01" w14:paraId="29021710" w14:textId="77777777" w:rsidTr="004416D3">
        <w:tc>
          <w:tcPr>
            <w:tcW w:w="1667" w:type="pct"/>
          </w:tcPr>
          <w:p w14:paraId="0C7C283B" w14:textId="77777777" w:rsidR="0037436D" w:rsidRPr="00C23F01" w:rsidRDefault="0037436D" w:rsidP="004416D3">
            <w:pPr>
              <w:rPr>
                <w:szCs w:val="18"/>
              </w:rPr>
            </w:pPr>
            <w:r w:rsidRPr="00C23F01">
              <w:rPr>
                <w:szCs w:val="18"/>
              </w:rPr>
              <w:t>Rechtsfiguur bevat voor eenieder bindende regels</w:t>
            </w:r>
          </w:p>
        </w:tc>
        <w:tc>
          <w:tcPr>
            <w:tcW w:w="1667" w:type="pct"/>
          </w:tcPr>
          <w:p w14:paraId="12200A85" w14:textId="77777777" w:rsidR="0037436D" w:rsidRPr="00C23F01" w:rsidRDefault="0037436D" w:rsidP="004416D3">
            <w:pPr>
              <w:spacing w:line="240" w:lineRule="exact"/>
              <w:rPr>
                <w:szCs w:val="18"/>
              </w:rPr>
            </w:pPr>
            <w:r w:rsidRPr="00C23F01">
              <w:rPr>
                <w:szCs w:val="18"/>
              </w:rPr>
              <w:t>Ja, AMvB kan rechtstreeks werkende regels gericht op burgers en bedrijven bevatten</w:t>
            </w:r>
          </w:p>
        </w:tc>
        <w:tc>
          <w:tcPr>
            <w:tcW w:w="1666" w:type="pct"/>
          </w:tcPr>
          <w:p w14:paraId="724054CC" w14:textId="77777777" w:rsidR="0037436D" w:rsidRPr="00C23F01" w:rsidRDefault="0037436D" w:rsidP="004416D3">
            <w:pPr>
              <w:spacing w:line="240" w:lineRule="exact"/>
              <w:rPr>
                <w:szCs w:val="18"/>
              </w:rPr>
            </w:pPr>
            <w:r w:rsidRPr="00C23F01">
              <w:rPr>
                <w:szCs w:val="18"/>
              </w:rPr>
              <w:t>Ja, MR kan rechtstreeks werkende regels gericht op burgers en bedrijven bevatten</w:t>
            </w:r>
          </w:p>
        </w:tc>
      </w:tr>
    </w:tbl>
    <w:p w14:paraId="69605AB3" w14:textId="1AF769D9" w:rsidR="004416D3" w:rsidRDefault="00DC26A8" w:rsidP="004416D3">
      <w:pPr>
        <w:pStyle w:val="Tabeltitel"/>
      </w:pPr>
      <w:r w:rsidRPr="00F62F31">
        <w:t>Kenmerken ten behoeve van metadata en annotaties</w:t>
      </w:r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3294"/>
        <w:gridCol w:w="2642"/>
        <w:gridCol w:w="2558"/>
      </w:tblGrid>
      <w:tr w:rsidR="00572E0E" w:rsidRPr="00AE3E10" w14:paraId="076F7E3B" w14:textId="77777777" w:rsidTr="0044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39" w:type="pct"/>
          </w:tcPr>
          <w:p w14:paraId="6334B23D" w14:textId="77777777" w:rsidR="00572E0E" w:rsidRPr="00AE3E10" w:rsidRDefault="00572E0E" w:rsidP="004416D3">
            <w:pPr>
              <w:rPr>
                <w:szCs w:val="18"/>
              </w:rPr>
            </w:pPr>
            <w:r w:rsidRPr="00AE3E10">
              <w:rPr>
                <w:szCs w:val="18"/>
              </w:rPr>
              <w:t>Onderwerp</w:t>
            </w:r>
          </w:p>
        </w:tc>
        <w:tc>
          <w:tcPr>
            <w:tcW w:w="1555" w:type="pct"/>
          </w:tcPr>
          <w:p w14:paraId="77A6C811" w14:textId="77777777" w:rsidR="00572E0E" w:rsidRPr="00AE3E10" w:rsidRDefault="00572E0E" w:rsidP="004416D3">
            <w:pPr>
              <w:contextualSpacing/>
              <w:rPr>
                <w:szCs w:val="18"/>
              </w:rPr>
            </w:pPr>
            <w:r w:rsidRPr="00AE3E10">
              <w:rPr>
                <w:szCs w:val="18"/>
              </w:rPr>
              <w:t>Specificatie AMvB</w:t>
            </w:r>
          </w:p>
        </w:tc>
        <w:tc>
          <w:tcPr>
            <w:tcW w:w="1506" w:type="pct"/>
          </w:tcPr>
          <w:p w14:paraId="54562252" w14:textId="77777777" w:rsidR="00572E0E" w:rsidRPr="00AE3E10" w:rsidRDefault="00572E0E" w:rsidP="004416D3">
            <w:pPr>
              <w:contextualSpacing/>
              <w:rPr>
                <w:szCs w:val="18"/>
              </w:rPr>
            </w:pPr>
            <w:r w:rsidRPr="00AE3E10">
              <w:rPr>
                <w:szCs w:val="18"/>
              </w:rPr>
              <w:t>Specificatie MR</w:t>
            </w:r>
          </w:p>
        </w:tc>
      </w:tr>
      <w:tr w:rsidR="00572E0E" w:rsidRPr="00C23F01" w14:paraId="5F8C6117" w14:textId="77777777" w:rsidTr="004416D3">
        <w:tc>
          <w:tcPr>
            <w:tcW w:w="1939" w:type="pct"/>
          </w:tcPr>
          <w:p w14:paraId="5B4A5A20" w14:textId="77777777" w:rsidR="00572E0E" w:rsidRPr="00C23F01" w:rsidRDefault="00572E0E" w:rsidP="004416D3">
            <w:pPr>
              <w:rPr>
                <w:szCs w:val="18"/>
              </w:rPr>
            </w:pPr>
            <w:r w:rsidRPr="00C23F01">
              <w:rPr>
                <w:szCs w:val="18"/>
              </w:rPr>
              <w:t>Bevoegde bestuurslaag</w:t>
            </w:r>
          </w:p>
        </w:tc>
        <w:tc>
          <w:tcPr>
            <w:tcW w:w="1555" w:type="pct"/>
          </w:tcPr>
          <w:p w14:paraId="4E705C69" w14:textId="77777777" w:rsidR="00572E0E" w:rsidRPr="00C23F01" w:rsidRDefault="00572E0E" w:rsidP="004416D3">
            <w:pPr>
              <w:contextualSpacing/>
              <w:rPr>
                <w:rFonts w:eastAsia="Verdana" w:cs="Mangal"/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Rijk</w:t>
            </w:r>
          </w:p>
        </w:tc>
        <w:tc>
          <w:tcPr>
            <w:tcW w:w="1506" w:type="pct"/>
          </w:tcPr>
          <w:p w14:paraId="4795F95E" w14:textId="77777777" w:rsidR="00572E0E" w:rsidRPr="00C23F01" w:rsidRDefault="00572E0E" w:rsidP="004416D3">
            <w:pPr>
              <w:contextualSpacing/>
              <w:rPr>
                <w:rFonts w:eastAsia="Verdana" w:cs="Mangal"/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Rijk</w:t>
            </w:r>
          </w:p>
        </w:tc>
      </w:tr>
      <w:tr w:rsidR="00572E0E" w:rsidRPr="00C23F01" w14:paraId="1C08CD10" w14:textId="77777777" w:rsidTr="004416D3">
        <w:tc>
          <w:tcPr>
            <w:tcW w:w="1939" w:type="pct"/>
          </w:tcPr>
          <w:p w14:paraId="2775964F" w14:textId="77777777" w:rsidR="00572E0E" w:rsidRPr="00C23F01" w:rsidRDefault="00572E0E" w:rsidP="004416D3">
            <w:pPr>
              <w:rPr>
                <w:szCs w:val="18"/>
              </w:rPr>
            </w:pPr>
            <w:r w:rsidRPr="00C23F01">
              <w:rPr>
                <w:szCs w:val="18"/>
              </w:rPr>
              <w:lastRenderedPageBreak/>
              <w:t>Bestuursorgaan</w:t>
            </w:r>
          </w:p>
        </w:tc>
        <w:tc>
          <w:tcPr>
            <w:tcW w:w="1555" w:type="pct"/>
          </w:tcPr>
          <w:p w14:paraId="65141E34" w14:textId="77777777" w:rsidR="00572E0E" w:rsidRPr="00C23F01" w:rsidRDefault="00572E0E" w:rsidP="004416D3">
            <w:pPr>
              <w:contextualSpacing/>
              <w:rPr>
                <w:rFonts w:eastAsia="Verdana" w:cs="Mangal"/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Regering</w:t>
            </w:r>
          </w:p>
        </w:tc>
        <w:tc>
          <w:tcPr>
            <w:tcW w:w="1506" w:type="pct"/>
          </w:tcPr>
          <w:p w14:paraId="4FD791FF" w14:textId="77777777" w:rsidR="00572E0E" w:rsidRPr="00C23F01" w:rsidRDefault="00572E0E" w:rsidP="004416D3">
            <w:pPr>
              <w:contextualSpacing/>
              <w:rPr>
                <w:rFonts w:eastAsia="Verdana" w:cs="Mangal"/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Minister</w:t>
            </w:r>
          </w:p>
        </w:tc>
      </w:tr>
      <w:tr w:rsidR="00572E0E" w:rsidRPr="00C23F01" w14:paraId="604D9419" w14:textId="77777777" w:rsidTr="004416D3">
        <w:tc>
          <w:tcPr>
            <w:tcW w:w="1939" w:type="pct"/>
          </w:tcPr>
          <w:p w14:paraId="529B537D" w14:textId="77777777" w:rsidR="00572E0E" w:rsidRPr="00C23F01" w:rsidRDefault="00572E0E" w:rsidP="004416D3">
            <w:pPr>
              <w:rPr>
                <w:rFonts w:eastAsia="Verdana" w:cs="Verdana"/>
                <w:szCs w:val="18"/>
              </w:rPr>
            </w:pPr>
            <w:r>
              <w:rPr>
                <w:szCs w:val="18"/>
              </w:rPr>
              <w:t>Omgevingsdocument</w:t>
            </w:r>
            <w:r w:rsidRPr="00C23F01">
              <w:rPr>
                <w:szCs w:val="18"/>
              </w:rPr>
              <w:t xml:space="preserve"> kan rechtstreeks ander </w:t>
            </w:r>
            <w:r>
              <w:rPr>
                <w:szCs w:val="18"/>
              </w:rPr>
              <w:t>omgevingsdocument</w:t>
            </w:r>
            <w:r w:rsidRPr="00C23F01">
              <w:rPr>
                <w:szCs w:val="18"/>
              </w:rPr>
              <w:t xml:space="preserve"> wijzigen (meervoudig bronhouderschap)</w:t>
            </w:r>
          </w:p>
        </w:tc>
        <w:tc>
          <w:tcPr>
            <w:tcW w:w="1555" w:type="pct"/>
          </w:tcPr>
          <w:p w14:paraId="2BDEC94A" w14:textId="77777777" w:rsidR="00572E0E" w:rsidRPr="00C23F01" w:rsidRDefault="00572E0E" w:rsidP="004416D3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</w:tc>
        <w:tc>
          <w:tcPr>
            <w:tcW w:w="1506" w:type="pct"/>
          </w:tcPr>
          <w:p w14:paraId="1CDCDE6C" w14:textId="6CA975CD" w:rsidR="00572E0E" w:rsidRPr="00C23F01" w:rsidRDefault="001C30FA" w:rsidP="004416D3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</w:tc>
      </w:tr>
      <w:tr w:rsidR="00572E0E" w:rsidRPr="00C23F01" w14:paraId="75E2105B" w14:textId="77777777" w:rsidTr="004416D3">
        <w:tc>
          <w:tcPr>
            <w:tcW w:w="1939" w:type="pct"/>
          </w:tcPr>
          <w:p w14:paraId="1B376C22" w14:textId="77777777" w:rsidR="00572E0E" w:rsidRPr="00C23F01" w:rsidRDefault="00572E0E" w:rsidP="004416D3">
            <w:pPr>
              <w:rPr>
                <w:rFonts w:eastAsia="Verdana" w:cs="Verdana"/>
                <w:szCs w:val="18"/>
              </w:rPr>
            </w:pPr>
            <w:r w:rsidRPr="00C23F01">
              <w:rPr>
                <w:szCs w:val="18"/>
              </w:rPr>
              <w:t xml:space="preserve">Ander </w:t>
            </w:r>
            <w:r>
              <w:rPr>
                <w:szCs w:val="18"/>
              </w:rPr>
              <w:t>omgevingsdocument</w:t>
            </w:r>
            <w:r w:rsidRPr="00C23F01">
              <w:rPr>
                <w:szCs w:val="18"/>
              </w:rPr>
              <w:t xml:space="preserve"> kan rechtstreeks onderhavig </w:t>
            </w:r>
            <w:r>
              <w:rPr>
                <w:szCs w:val="18"/>
              </w:rPr>
              <w:t>omgevingsdocument</w:t>
            </w:r>
            <w:r w:rsidRPr="00C23F01">
              <w:rPr>
                <w:szCs w:val="18"/>
              </w:rPr>
              <w:t xml:space="preserve"> wijzigen (meervoudig bronhouderschap)</w:t>
            </w:r>
          </w:p>
        </w:tc>
        <w:tc>
          <w:tcPr>
            <w:tcW w:w="1555" w:type="pct"/>
          </w:tcPr>
          <w:p w14:paraId="383C2127" w14:textId="6C8177ED" w:rsidR="00572E0E" w:rsidRDefault="00572E0E" w:rsidP="004416D3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  <w:p w14:paraId="62E2055F" w14:textId="2CFD466B" w:rsidR="00572E0E" w:rsidRPr="00A0271D" w:rsidRDefault="00572E0E" w:rsidP="004416D3">
            <w:pPr>
              <w:rPr>
                <w:szCs w:val="18"/>
              </w:rPr>
            </w:pPr>
          </w:p>
        </w:tc>
        <w:tc>
          <w:tcPr>
            <w:tcW w:w="1506" w:type="pct"/>
          </w:tcPr>
          <w:p w14:paraId="13F4E75B" w14:textId="6C1B4CFB" w:rsidR="00572E0E" w:rsidRDefault="00572E0E" w:rsidP="004416D3">
            <w:pPr>
              <w:rPr>
                <w:szCs w:val="18"/>
              </w:rPr>
            </w:pPr>
            <w:r>
              <w:rPr>
                <w:szCs w:val="18"/>
              </w:rPr>
              <w:t>Nee</w:t>
            </w:r>
          </w:p>
          <w:p w14:paraId="355C395E" w14:textId="77777777" w:rsidR="00572E0E" w:rsidRDefault="00572E0E" w:rsidP="004416D3">
            <w:pPr>
              <w:rPr>
                <w:szCs w:val="18"/>
              </w:rPr>
            </w:pPr>
          </w:p>
          <w:p w14:paraId="2E11A48A" w14:textId="0B834092" w:rsidR="00572E0E" w:rsidRPr="00C23F01" w:rsidRDefault="00572E0E" w:rsidP="004416D3">
            <w:pPr>
              <w:rPr>
                <w:szCs w:val="18"/>
              </w:rPr>
            </w:pPr>
          </w:p>
        </w:tc>
      </w:tr>
      <w:tr w:rsidR="00572E0E" w:rsidRPr="00C23F01" w14:paraId="15B5378E" w14:textId="77777777" w:rsidTr="004416D3">
        <w:tc>
          <w:tcPr>
            <w:tcW w:w="1939" w:type="pct"/>
          </w:tcPr>
          <w:p w14:paraId="7C9A652C" w14:textId="77777777" w:rsidR="00572E0E" w:rsidRPr="00C23F01" w:rsidRDefault="00572E0E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Rechtsfiguur kan gewijzigd worden door wijzigingsbesluiten</w:t>
            </w:r>
          </w:p>
        </w:tc>
        <w:tc>
          <w:tcPr>
            <w:tcW w:w="1555" w:type="pct"/>
          </w:tcPr>
          <w:p w14:paraId="4A283B66" w14:textId="77777777" w:rsidR="00572E0E" w:rsidRPr="00C23F01" w:rsidRDefault="00572E0E" w:rsidP="004416D3">
            <w:pPr>
              <w:rPr>
                <w:szCs w:val="18"/>
              </w:rPr>
            </w:pPr>
            <w:r w:rsidRPr="00C23F01">
              <w:rPr>
                <w:szCs w:val="18"/>
              </w:rPr>
              <w:t>Ja</w:t>
            </w:r>
          </w:p>
        </w:tc>
        <w:tc>
          <w:tcPr>
            <w:tcW w:w="1506" w:type="pct"/>
          </w:tcPr>
          <w:p w14:paraId="047B9FFC" w14:textId="77777777" w:rsidR="00572E0E" w:rsidRPr="00C23F01" w:rsidRDefault="00572E0E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Ja</w:t>
            </w:r>
          </w:p>
        </w:tc>
      </w:tr>
    </w:tbl>
    <w:p w14:paraId="428C8C0E" w14:textId="1C7BA7F1" w:rsidR="004416D3" w:rsidRDefault="00DC26A8" w:rsidP="004416D3">
      <w:pPr>
        <w:pStyle w:val="Tabeltitel"/>
      </w:pPr>
      <w:bookmarkStart w:id="16" w:name="_Ref_83f1e0661911a69e61c6210920831db8_3"/>
      <w:r w:rsidRPr="00F62F31">
        <w:t>Vergelijking met huidige rechtsfiguren en RO Standaarden</w:t>
      </w:r>
      <w:bookmarkEnd w:id="16"/>
    </w:p>
    <w:tbl>
      <w:tblPr>
        <w:tblStyle w:val="Tabel"/>
        <w:tblW w:w="5000" w:type="pct"/>
        <w:tblLayout w:type="fixed"/>
        <w:tblLook w:val="0620" w:firstRow="1" w:lastRow="0" w:firstColumn="0" w:lastColumn="0" w:noHBand="1" w:noVBand="1"/>
      </w:tblPr>
      <w:tblGrid>
        <w:gridCol w:w="2999"/>
        <w:gridCol w:w="2791"/>
        <w:gridCol w:w="2704"/>
      </w:tblGrid>
      <w:tr w:rsidR="005336F1" w:rsidRPr="004E00F6" w14:paraId="4763EEAF" w14:textId="77777777" w:rsidTr="004416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65" w:type="pct"/>
          </w:tcPr>
          <w:p w14:paraId="77B84C6F" w14:textId="77777777" w:rsidR="005336F1" w:rsidRPr="00C23F01" w:rsidRDefault="005336F1" w:rsidP="004416D3">
            <w:pPr>
              <w:rPr>
                <w:szCs w:val="18"/>
              </w:rPr>
            </w:pPr>
            <w:r w:rsidRPr="004A3A27">
              <w:rPr>
                <w:szCs w:val="18"/>
              </w:rPr>
              <w:t>Onderwerp</w:t>
            </w:r>
          </w:p>
        </w:tc>
        <w:tc>
          <w:tcPr>
            <w:tcW w:w="1643" w:type="pct"/>
          </w:tcPr>
          <w:p w14:paraId="74593455" w14:textId="77777777" w:rsidR="005336F1" w:rsidRPr="00C23F01" w:rsidRDefault="005336F1" w:rsidP="004416D3">
            <w:pPr>
              <w:rPr>
                <w:szCs w:val="18"/>
              </w:rPr>
            </w:pPr>
            <w:r w:rsidRPr="004A3A27">
              <w:rPr>
                <w:szCs w:val="18"/>
              </w:rPr>
              <w:t>Specificatie AMvB</w:t>
            </w:r>
          </w:p>
        </w:tc>
        <w:tc>
          <w:tcPr>
            <w:tcW w:w="1592" w:type="pct"/>
          </w:tcPr>
          <w:p w14:paraId="1D39A461" w14:textId="77777777" w:rsidR="005336F1" w:rsidRPr="004E00F6" w:rsidRDefault="005336F1" w:rsidP="004416D3">
            <w:pPr>
              <w:rPr>
                <w:szCs w:val="18"/>
              </w:rPr>
            </w:pPr>
            <w:r w:rsidRPr="004A3A27">
              <w:rPr>
                <w:szCs w:val="18"/>
              </w:rPr>
              <w:t>Specificatie MR</w:t>
            </w:r>
          </w:p>
        </w:tc>
      </w:tr>
      <w:tr w:rsidR="005336F1" w:rsidRPr="004E00F6" w14:paraId="077BD8B4" w14:textId="77777777" w:rsidTr="004416D3">
        <w:tc>
          <w:tcPr>
            <w:tcW w:w="1765" w:type="pct"/>
          </w:tcPr>
          <w:p w14:paraId="5FC89A6C" w14:textId="77777777" w:rsidR="005336F1" w:rsidRPr="00C23F01" w:rsidRDefault="005336F1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Vergelijkbaar met/ voortzetting van huidige rechtsfiguur</w:t>
            </w:r>
          </w:p>
        </w:tc>
        <w:tc>
          <w:tcPr>
            <w:tcW w:w="1643" w:type="pct"/>
          </w:tcPr>
          <w:p w14:paraId="2DD8FBD3" w14:textId="4A61FB41" w:rsidR="005336F1" w:rsidRPr="004E00F6" w:rsidRDefault="005336F1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Algemene Maatregel van Bestuur op basis van Wro</w:t>
            </w:r>
            <w:r>
              <w:rPr>
                <w:szCs w:val="18"/>
              </w:rPr>
              <w:t>, Wabo, Woningwet, Wet milieubeheer</w:t>
            </w:r>
          </w:p>
        </w:tc>
        <w:tc>
          <w:tcPr>
            <w:tcW w:w="1592" w:type="pct"/>
          </w:tcPr>
          <w:p w14:paraId="78419847" w14:textId="2BF0B871" w:rsidR="005336F1" w:rsidRPr="004E00F6" w:rsidRDefault="005336F1" w:rsidP="004416D3">
            <w:pPr>
              <w:rPr>
                <w:color w:val="000000" w:themeColor="text1"/>
                <w:szCs w:val="18"/>
              </w:rPr>
            </w:pPr>
            <w:r w:rsidRPr="004E00F6">
              <w:rPr>
                <w:szCs w:val="18"/>
              </w:rPr>
              <w:t>Ministeriële Rege</w:t>
            </w:r>
            <w:r w:rsidRPr="00C23F01">
              <w:rPr>
                <w:szCs w:val="18"/>
              </w:rPr>
              <w:t>ling op basis van Wro</w:t>
            </w:r>
            <w:r>
              <w:rPr>
                <w:szCs w:val="18"/>
              </w:rPr>
              <w:t>, Wabo, Woningwet, Wet milieubeheer</w:t>
            </w:r>
          </w:p>
        </w:tc>
      </w:tr>
      <w:tr w:rsidR="005336F1" w:rsidRPr="00C23F01" w14:paraId="58FDCED9" w14:textId="77777777" w:rsidTr="004416D3">
        <w:tc>
          <w:tcPr>
            <w:tcW w:w="1765" w:type="pct"/>
          </w:tcPr>
          <w:p w14:paraId="35351D13" w14:textId="77777777" w:rsidR="005336F1" w:rsidRPr="00C23F01" w:rsidRDefault="005336F1" w:rsidP="004416D3">
            <w:pPr>
              <w:rPr>
                <w:color w:val="000000" w:themeColor="text1"/>
                <w:szCs w:val="18"/>
              </w:rPr>
            </w:pPr>
            <w:r w:rsidRPr="004E00F6">
              <w:rPr>
                <w:color w:val="000000"/>
                <w:shd w:val="clear" w:color="auto" w:fill="FFFFFF"/>
              </w:rPr>
              <w:t>Voortzetting van</w:t>
            </w:r>
            <w:r w:rsidRPr="25C5C923">
              <w:rPr>
                <w:color w:val="000000"/>
                <w:shd w:val="clear" w:color="auto" w:fill="FFFFFF"/>
              </w:rPr>
              <w:t xml:space="preserve"> instrument in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 w:rsidRPr="25C5C923">
              <w:rPr>
                <w:color w:val="000000"/>
                <w:shd w:val="clear" w:color="auto" w:fill="FFFFFF"/>
              </w:rPr>
              <w:t>RO Standaarden</w:t>
            </w:r>
            <w:r>
              <w:rPr>
                <w:color w:val="000000"/>
                <w:shd w:val="clear" w:color="auto" w:fill="FFFFFF"/>
              </w:rPr>
              <w:t xml:space="preserve"> </w:t>
            </w:r>
          </w:p>
        </w:tc>
        <w:tc>
          <w:tcPr>
            <w:tcW w:w="1643" w:type="pct"/>
          </w:tcPr>
          <w:p w14:paraId="51A937C5" w14:textId="77777777" w:rsidR="005336F1" w:rsidRPr="00C23F01" w:rsidRDefault="005336F1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Ja, AMvB</w:t>
            </w:r>
          </w:p>
        </w:tc>
        <w:tc>
          <w:tcPr>
            <w:tcW w:w="1592" w:type="pct"/>
          </w:tcPr>
          <w:p w14:paraId="63CD608C" w14:textId="77777777" w:rsidR="005336F1" w:rsidRPr="00C23F01" w:rsidRDefault="005336F1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szCs w:val="18"/>
              </w:rPr>
              <w:t>Ja, Ministeriële Regeling</w:t>
            </w:r>
          </w:p>
        </w:tc>
      </w:tr>
      <w:tr w:rsidR="005336F1" w:rsidRPr="00C23F01" w14:paraId="1C4E759E" w14:textId="77777777" w:rsidTr="004416D3">
        <w:tc>
          <w:tcPr>
            <w:tcW w:w="1765" w:type="pct"/>
          </w:tcPr>
          <w:p w14:paraId="1BF53B91" w14:textId="77777777" w:rsidR="005336F1" w:rsidRPr="00C23F01" w:rsidRDefault="005336F1" w:rsidP="004416D3">
            <w:pPr>
              <w:rPr>
                <w:color w:val="000000"/>
                <w:szCs w:val="18"/>
                <w:shd w:val="clear" w:color="auto" w:fill="FFFFFF"/>
              </w:rPr>
            </w:pPr>
            <w:r w:rsidRPr="25C5C923">
              <w:rPr>
                <w:color w:val="000000"/>
                <w:shd w:val="clear" w:color="auto" w:fill="FFFFFF"/>
              </w:rPr>
              <w:t>INSPIRE thema</w:t>
            </w:r>
          </w:p>
        </w:tc>
        <w:tc>
          <w:tcPr>
            <w:tcW w:w="1643" w:type="pct"/>
          </w:tcPr>
          <w:p w14:paraId="29FAF043" w14:textId="77777777" w:rsidR="005336F1" w:rsidRPr="00C23F01" w:rsidRDefault="005336F1" w:rsidP="004416D3">
            <w:pPr>
              <w:rPr>
                <w:color w:val="000000" w:themeColor="text1"/>
                <w:szCs w:val="18"/>
              </w:rPr>
            </w:pPr>
            <w:r w:rsidRPr="00C23F01">
              <w:rPr>
                <w:color w:val="000000" w:themeColor="text1"/>
                <w:szCs w:val="18"/>
              </w:rPr>
              <w:t>Meerdere INSPIRE thema</w:t>
            </w:r>
            <w:r>
              <w:rPr>
                <w:color w:val="000000" w:themeColor="text1"/>
                <w:szCs w:val="18"/>
              </w:rPr>
              <w:t>’</w:t>
            </w:r>
            <w:r w:rsidRPr="00C23F01">
              <w:rPr>
                <w:color w:val="000000" w:themeColor="text1"/>
                <w:szCs w:val="18"/>
              </w:rPr>
              <w:t>s</w:t>
            </w:r>
          </w:p>
        </w:tc>
        <w:tc>
          <w:tcPr>
            <w:tcW w:w="1592" w:type="pct"/>
          </w:tcPr>
          <w:p w14:paraId="1ADFF1DD" w14:textId="77777777" w:rsidR="005336F1" w:rsidRPr="00C23F01" w:rsidRDefault="005336F1" w:rsidP="004416D3">
            <w:pPr>
              <w:rPr>
                <w:color w:val="000000" w:themeColor="text1"/>
                <w:szCs w:val="18"/>
              </w:rPr>
            </w:pPr>
            <w:r w:rsidRPr="0035405E">
              <w:rPr>
                <w:color w:val="000000" w:themeColor="text1"/>
                <w:szCs w:val="18"/>
              </w:rPr>
              <w:t>Meerdere INSPIRE thema</w:t>
            </w:r>
            <w:r>
              <w:rPr>
                <w:color w:val="000000" w:themeColor="text1"/>
                <w:szCs w:val="18"/>
              </w:rPr>
              <w:t>’</w:t>
            </w:r>
            <w:r w:rsidRPr="0035405E">
              <w:rPr>
                <w:color w:val="000000" w:themeColor="text1"/>
                <w:szCs w:val="18"/>
              </w:rPr>
              <w:t>s</w:t>
            </w:r>
          </w:p>
        </w:tc>
      </w:tr>
    </w:tbl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BAED" w14:textId="77777777" w:rsidR="008F6D0A" w:rsidRDefault="008F6D0A">
      <w:r>
        <w:separator/>
      </w:r>
    </w:p>
    <w:p w14:paraId="1F6711E2" w14:textId="77777777" w:rsidR="008F6D0A" w:rsidRDefault="008F6D0A"/>
  </w:endnote>
  <w:endnote w:type="continuationSeparator" w:id="0">
    <w:p w14:paraId="537480C8" w14:textId="77777777" w:rsidR="008F6D0A" w:rsidRPr="003C450F" w:rsidRDefault="008F6D0A" w:rsidP="003C450F"/>
  </w:endnote>
  <w:endnote w:type="continuationNotice" w:id="1">
    <w:p w14:paraId="5E84DBCA" w14:textId="77777777" w:rsidR="008F6D0A" w:rsidRDefault="008F6D0A" w:rsidP="003C450F"/>
  </w:endnote>
  <w:endnote w:id="2">
    <w:p w14:paraId="7C567833" w14:textId="77777777" w:rsidR="004416D3" w:rsidRDefault="004416D3"/>
    <w:p w14:paraId="2FA3EABD" w14:textId="77777777" w:rsidR="004416D3" w:rsidRDefault="004416D3"/>
  </w:endnote>
  <w:endnote w:id="3">
    <w:p w14:paraId="6E0B7BFD" w14:textId="77777777" w:rsidR="004416D3" w:rsidRDefault="004416D3"/>
    <w:p w14:paraId="16CA4574" w14:textId="77777777" w:rsidR="004416D3" w:rsidRDefault="004416D3"/>
  </w:endnote>
  <w:endnote w:id="4">
    <w:p w14:paraId="49A08ABA" w14:textId="77777777" w:rsidR="004416D3" w:rsidRDefault="004416D3"/>
    <w:p w14:paraId="68D74423" w14:textId="77777777" w:rsidR="004416D3" w:rsidRDefault="004416D3"/>
  </w:endnote>
  <w:endnote w:id="5">
    <w:p w14:paraId="2EF6EF0B" w14:textId="77777777" w:rsidR="004416D3" w:rsidRDefault="004416D3"/>
    <w:p w14:paraId="255DDA1E" w14:textId="77777777" w:rsidR="004416D3" w:rsidRDefault="004416D3"/>
  </w:endnote>
  <w:endnote w:id="6">
    <w:p w14:paraId="523D3AEF" w14:textId="77777777" w:rsidR="004416D3" w:rsidRDefault="004416D3"/>
    <w:p w14:paraId="1C857DDA" w14:textId="77777777" w:rsidR="004416D3" w:rsidRDefault="004416D3"/>
  </w:endnote>
  <w:endnote w:id="7">
    <w:p w14:paraId="120AB6AC" w14:textId="77777777" w:rsidR="004416D3" w:rsidRDefault="004416D3"/>
    <w:p w14:paraId="4839DC93" w14:textId="77777777" w:rsidR="004416D3" w:rsidRDefault="004416D3"/>
  </w:endnote>
  <w:endnote w:id="8">
    <w:p w14:paraId="400EA1C7" w14:textId="77777777" w:rsidR="004416D3" w:rsidRDefault="004416D3"/>
    <w:p w14:paraId="6ECFDF12" w14:textId="77777777" w:rsidR="004416D3" w:rsidRDefault="004416D3"/>
  </w:endnote>
  <w:endnote w:id="9">
    <w:p w14:paraId="0C61191A" w14:textId="77777777" w:rsidR="004416D3" w:rsidRDefault="004416D3"/>
    <w:p w14:paraId="37ADB66B" w14:textId="77777777" w:rsidR="004416D3" w:rsidRDefault="004416D3"/>
  </w:endnote>
  <w:endnote w:id="10">
    <w:p w14:paraId="040CAAB4" w14:textId="77777777" w:rsidR="004416D3" w:rsidRDefault="004416D3"/>
    <w:p w14:paraId="1E3BEA89" w14:textId="77777777" w:rsidR="004416D3" w:rsidRDefault="004416D3"/>
  </w:endnote>
  <w:endnote w:id="11">
    <w:p w14:paraId="74FD6DF7" w14:textId="77777777" w:rsidR="004416D3" w:rsidRDefault="004416D3"/>
    <w:p w14:paraId="7BA13E11" w14:textId="77777777" w:rsidR="004416D3" w:rsidRDefault="004416D3"/>
  </w:endnote>
  <w:endnote w:id="12">
    <w:p w14:paraId="39708DDF" w14:textId="77777777" w:rsidR="004416D3" w:rsidRDefault="004416D3"/>
    <w:p w14:paraId="73D70A22" w14:textId="77777777" w:rsidR="004416D3" w:rsidRDefault="004416D3"/>
  </w:endnote>
  <w:endnote w:id="13">
    <w:p w14:paraId="2DFF88A4" w14:textId="77777777" w:rsidR="004416D3" w:rsidRDefault="004416D3"/>
    <w:p w14:paraId="1BACB337" w14:textId="77777777" w:rsidR="004416D3" w:rsidRDefault="00441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DC4C3" w14:textId="3CFA8720" w:rsidR="004416D3" w:rsidRPr="006B1455" w:rsidRDefault="004416D3" w:rsidP="00577995">
    <w:pPr>
      <w:tabs>
        <w:tab w:val="left" w:pos="6260"/>
      </w:tabs>
    </w:pPr>
    <w:r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t>6</w:t>
    </w:r>
    <w: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E253B7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7A78" w14:textId="4D161A04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1</w:t>
    </w:r>
    <w:r w:rsidRPr="049A10CD">
      <w:rPr>
        <w:noProof/>
      </w:rPr>
      <w:fldChar w:fldCharType="end"/>
    </w:r>
  </w:p>
  <w:p w14:paraId="0619104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DD37D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F834" w14:textId="3A96BB78" w:rsidR="004416D3" w:rsidRPr="006B1455" w:rsidRDefault="004416D3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4A2CC89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2D85" w14:textId="110EDD19" w:rsidR="004416D3" w:rsidRPr="006B1455" w:rsidRDefault="004416D3" w:rsidP="00577995">
    <w:pPr>
      <w:tabs>
        <w:tab w:val="left" w:pos="6260"/>
      </w:tabs>
    </w:pPr>
    <w:r>
      <w:t xml:space="preserve">Pagina </w:t>
    </w:r>
    <w:r w:rsidRPr="049A10CD">
      <w:rPr>
        <w:noProof/>
      </w:rPr>
      <w:fldChar w:fldCharType="begin"/>
    </w:r>
    <w:r w:rsidRPr="049A10CD">
      <w:rPr>
        <w:noProof/>
      </w:rPr>
      <w:instrText xml:space="preserve"> PAGE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 w:rsidRPr="049A10CD">
      <w:rPr>
        <w:noProof/>
      </w:rPr>
      <w:t>16</w:t>
    </w:r>
    <w:r w:rsidRPr="049A10CD">
      <w:rPr>
        <w:noProof/>
      </w:rPr>
      <w:fldChar w:fldCharType="end"/>
    </w:r>
    <w:r>
      <w:t xml:space="preserve"> van </w:t>
    </w:r>
    <w:r w:rsidRPr="049A10CD">
      <w:rPr>
        <w:noProof/>
      </w:rPr>
      <w:fldChar w:fldCharType="begin"/>
    </w:r>
    <w:r w:rsidRPr="049A10CD">
      <w:rPr>
        <w:noProof/>
      </w:rPr>
      <w:instrText xml:space="preserve"> NUMPAGES</w:instrText>
    </w:r>
    <w:r>
      <w:rPr>
        <w:noProof/>
      </w:rPr>
      <w:instrText xml:space="preserve"> </w:instrText>
    </w:r>
    <w:r w:rsidRPr="049A10CD">
      <w:rPr>
        <w:noProof/>
      </w:rPr>
      <w:instrText xml:space="preserve"> \* MERGEFORMAT </w:instrText>
    </w:r>
    <w:r w:rsidRPr="049A10CD">
      <w:rPr>
        <w:noProof/>
      </w:rPr>
      <w:fldChar w:fldCharType="separate"/>
    </w:r>
    <w:r>
      <w:rPr>
        <w:noProof/>
      </w:rPr>
      <w:t>81</w:t>
    </w:r>
    <w:r w:rsidRPr="049A10CD">
      <w:rPr>
        <w:noProof/>
      </w:rPr>
      <w:fldChar w:fldCharType="end"/>
    </w:r>
  </w:p>
  <w:p w14:paraId="598F2653" w14:textId="77777777" w:rsidR="004416D3" w:rsidRPr="00BC3B53" w:rsidRDefault="004416D3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0C871" w14:textId="77777777" w:rsidR="008F6D0A" w:rsidRPr="00B35331" w:rsidRDefault="008F6D0A" w:rsidP="00577995">
      <w:pPr>
        <w:pStyle w:val="Voettekst"/>
      </w:pPr>
    </w:p>
  </w:footnote>
  <w:footnote w:type="continuationSeparator" w:id="0">
    <w:p w14:paraId="246E8C6E" w14:textId="77777777" w:rsidR="008F6D0A" w:rsidRDefault="008F6D0A">
      <w:r>
        <w:continuationSeparator/>
      </w:r>
    </w:p>
    <w:p w14:paraId="400E18C6" w14:textId="77777777" w:rsidR="008F6D0A" w:rsidRDefault="008F6D0A"/>
    <w:p w14:paraId="77D94256" w14:textId="77777777" w:rsidR="008F6D0A" w:rsidRDefault="008F6D0A"/>
  </w:footnote>
  <w:footnote w:type="continuationNotice" w:id="1">
    <w:p w14:paraId="07C2B8F5" w14:textId="77777777" w:rsidR="008F6D0A" w:rsidRDefault="008F6D0A">
      <w:pPr>
        <w:spacing w:line="240" w:lineRule="auto"/>
      </w:pPr>
    </w:p>
  </w:footnote>
  <w:footnote w:id="2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3">
    <w:p w14:paraId="721AE4EC" w14:textId="6625D63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C3BF3">
        <w:t>Een toelichting is verplicht op grond van aanwijzing 4.42</w:t>
      </w:r>
      <w:r>
        <w:t xml:space="preserve"> van de Aanwijzingen voor de regelgeving</w:t>
      </w:r>
    </w:p>
  </w:footnote>
  <w:footnote w:id="4">
    <w:p w14:paraId="6B6DC1FA" w14:textId="7E564438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3C4854">
        <w:t>Onderscheid tussen algemene en artikelsgewijze toelichting is verplicht wanneer dat de toegankelijkheid bevordert op grond van aanw</w:t>
      </w:r>
      <w:r>
        <w:t>i</w:t>
      </w:r>
      <w:r w:rsidRPr="003C4854">
        <w:t>jzing 4.48</w:t>
      </w:r>
      <w:r>
        <w:t xml:space="preserve"> </w:t>
      </w:r>
      <w:r w:rsidRPr="003C4854">
        <w:t>van de Aanwijzingen voor de regelgeving</w:t>
      </w:r>
    </w:p>
  </w:footnote>
  <w:footnote w:id="5">
    <w:p w14:paraId="3A9D5909" w14:textId="77777777" w:rsidR="004416D3" w:rsidRDefault="004416D3" w:rsidP="00914FEB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6">
    <w:p w14:paraId="2EEC713F" w14:textId="79F4C077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AB13AD">
        <w:t>Behoudens in bijlagen en toepassingsteksten</w:t>
      </w:r>
      <w:r>
        <w:t>,</w:t>
      </w:r>
      <w:r w:rsidRPr="00AB13AD">
        <w:t xml:space="preserve"> </w:t>
      </w:r>
      <w:r>
        <w:t xml:space="preserve">waar </w:t>
      </w:r>
      <w:r w:rsidRPr="00AB13AD">
        <w:t>voet-</w:t>
      </w:r>
      <w:r>
        <w:t xml:space="preserve"> </w:t>
      </w:r>
      <w:r w:rsidRPr="00AB13AD">
        <w:t xml:space="preserve">en eindnoten wel </w:t>
      </w:r>
      <w:r>
        <w:t xml:space="preserve">zijn </w:t>
      </w:r>
      <w:r w:rsidRPr="00AB13AD">
        <w:t>toegestaan</w:t>
      </w:r>
    </w:p>
  </w:footnote>
  <w:footnote w:id="7">
    <w:p w14:paraId="0C638D1D" w14:textId="77777777" w:rsidR="004416D3" w:rsidRDefault="004416D3" w:rsidP="0004417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8">
    <w:p w14:paraId="7442F1D2" w14:textId="77777777" w:rsidR="004416D3" w:rsidRDefault="004416D3" w:rsidP="00A32580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9">
    <w:p w14:paraId="0E651911" w14:textId="77777777" w:rsidR="00301B29" w:rsidRDefault="00301B29" w:rsidP="00301B29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4416D3" w:rsidRPr="00275984" w14:paraId="241AEAE1" w14:textId="77777777" w:rsidTr="00C80AA7">
      <w:trPr>
        <w:trHeight w:val="400"/>
      </w:trPr>
      <w:tc>
        <w:tcPr>
          <w:tcW w:w="7520" w:type="dxa"/>
          <w:shd w:val="clear" w:color="auto" w:fill="auto"/>
        </w:tcPr>
        <w:p w14:paraId="2BD84D51" w14:textId="77777777" w:rsidR="004416D3" w:rsidRPr="002E14E1" w:rsidRDefault="004416D3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37B17409" w14:textId="77777777" w:rsidR="004416D3" w:rsidRDefault="004416D3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4E6CD820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FD58C1B" w14:textId="77777777" w:rsidR="004416D3" w:rsidRPr="00BC3B53" w:rsidRDefault="004416D3" w:rsidP="00FF3E80">
          <w:r>
            <w:rPr>
              <w:noProof/>
            </w:rPr>
            <w:drawing>
              <wp:anchor distT="0" distB="0" distL="114300" distR="114300" simplePos="0" relativeHeight="251652608" behindDoc="0" locked="1" layoutInCell="1" allowOverlap="1" wp14:anchorId="2144D453" wp14:editId="4A93E1F8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278E3D69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0AC282E" w14:textId="59C5552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 w:rsidR="005F1E03">
            <w:rPr>
              <w:noProof/>
            </w:rPr>
            <w:t>AMvB/MR</w:t>
          </w:r>
          <w:r w:rsidRPr="049A10CD">
            <w:fldChar w:fldCharType="end"/>
          </w:r>
        </w:p>
      </w:tc>
    </w:tr>
    <w:tr w:rsidR="004416D3" w:rsidRPr="00B60860" w14:paraId="72EB8B9D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6D6B0AD" w14:textId="2E7048C5" w:rsidR="004416D3" w:rsidRPr="00B60860" w:rsidRDefault="004416D3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5F1E03">
            <w:rPr>
              <w:noProof/>
            </w:rPr>
            <w:t>2.0.2-rc</w:t>
          </w:r>
          <w:r>
            <w:rPr>
              <w:noProof/>
            </w:rPr>
            <w:fldChar w:fldCharType="end"/>
          </w:r>
        </w:p>
        <w:p w14:paraId="454493EC" w14:textId="2E33AED7" w:rsidR="004416D3" w:rsidRPr="00B60860" w:rsidRDefault="004416D3" w:rsidP="00FF3E80">
          <w:r>
            <w:t>Geonovum</w:t>
          </w:r>
        </w:p>
      </w:tc>
    </w:tr>
    <w:tr w:rsidR="004416D3" w:rsidRPr="00B60860" w14:paraId="7D6AC90A" w14:textId="77777777" w:rsidTr="00C80AA7">
      <w:trPr>
        <w:cantSplit/>
      </w:trPr>
      <w:tc>
        <w:tcPr>
          <w:tcW w:w="1134" w:type="dxa"/>
          <w:shd w:val="clear" w:color="auto" w:fill="auto"/>
        </w:tcPr>
        <w:p w14:paraId="5157FFCB" w14:textId="77777777" w:rsidR="004416D3" w:rsidRPr="00CA6C0C" w:rsidRDefault="004416D3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7FCEF08" w14:textId="58F772A7" w:rsidR="004416D3" w:rsidRPr="00CA6C0C" w:rsidRDefault="004416D3" w:rsidP="00FF3E80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04AF7B40" w14:textId="77777777" w:rsidR="004416D3" w:rsidRPr="00EB5B83" w:rsidRDefault="004416D3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4416D3" w14:paraId="54D9EA1D" w14:textId="77777777" w:rsidTr="00C80AA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D84A5D0" w14:textId="77777777" w:rsidR="004416D3" w:rsidRPr="00BC3B53" w:rsidRDefault="004416D3" w:rsidP="00E034D2">
          <w:r>
            <w:rPr>
              <w:noProof/>
            </w:rPr>
            <w:drawing>
              <wp:anchor distT="0" distB="0" distL="114300" distR="114300" simplePos="0" relativeHeight="251650560" behindDoc="0" locked="1" layoutInCell="1" allowOverlap="1" wp14:anchorId="4E3FEC88" wp14:editId="05620E2D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6D3" w:rsidRPr="0056454C" w14:paraId="149E38AE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46F7344D" w14:textId="4A7F021F" w:rsidR="004416D3" w:rsidRPr="00FA6FAC" w:rsidRDefault="004416D3" w:rsidP="00C80AA7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</w:rPr>
            <w:fldChar w:fldCharType="separate"/>
          </w:r>
          <w:r>
            <w:rPr>
              <w:noProof/>
            </w:rPr>
            <w:t>AMvB en MR</w:t>
          </w:r>
          <w:r w:rsidRPr="049A10CD">
            <w:fldChar w:fldCharType="end"/>
          </w:r>
        </w:p>
      </w:tc>
    </w:tr>
    <w:tr w:rsidR="004416D3" w:rsidRPr="00B60860" w14:paraId="3B97D9B4" w14:textId="77777777" w:rsidTr="00C80AA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F1225C" w14:textId="7F3E7E1C" w:rsidR="004416D3" w:rsidRPr="00B60860" w:rsidRDefault="004416D3" w:rsidP="00577995">
          <w:r w:rsidRPr="00CA6C0C">
            <w:t xml:space="preserve">Versie </w:t>
          </w:r>
          <w:r w:rsidRPr="049A10CD"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fldChar w:fldCharType="separate"/>
          </w:r>
          <w:r>
            <w:rPr>
              <w:noProof/>
            </w:rPr>
            <w:t>1.0</w:t>
          </w:r>
          <w:r w:rsidRPr="049A10CD">
            <w:fldChar w:fldCharType="end"/>
          </w:r>
        </w:p>
        <w:p w14:paraId="01BFF147" w14:textId="77777777" w:rsidR="004416D3" w:rsidRPr="00B60860" w:rsidRDefault="004416D3" w:rsidP="00577995">
          <w:r>
            <w:t>Geonovum – KOOP</w:t>
          </w:r>
        </w:p>
      </w:tc>
    </w:tr>
    <w:tr w:rsidR="004416D3" w:rsidRPr="00B60860" w14:paraId="3DC3E4A8" w14:textId="77777777" w:rsidTr="00C80AA7">
      <w:trPr>
        <w:cantSplit/>
      </w:trPr>
      <w:tc>
        <w:tcPr>
          <w:tcW w:w="1134" w:type="dxa"/>
          <w:shd w:val="clear" w:color="auto" w:fill="auto"/>
        </w:tcPr>
        <w:p w14:paraId="4B87AEFA" w14:textId="77777777" w:rsidR="004416D3" w:rsidRPr="00CA6C0C" w:rsidRDefault="004416D3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F507C78" w14:textId="1B3FCC36" w:rsidR="004416D3" w:rsidRPr="00CA6C0C" w:rsidRDefault="004416D3" w:rsidP="00577995">
          <w:r>
            <w:fldChar w:fldCharType="begin"/>
          </w:r>
          <w:r>
            <w:instrText xml:space="preserve"> SAVEDATE \@ "d MMMM yyyy" </w:instrText>
          </w:r>
          <w:r>
            <w:fldChar w:fldCharType="separate"/>
          </w:r>
          <w:r w:rsidR="008359E0">
            <w:rPr>
              <w:noProof/>
            </w:rPr>
            <w:t>3 juni 2021</w:t>
          </w:r>
          <w:r>
            <w:fldChar w:fldCharType="end"/>
          </w:r>
        </w:p>
      </w:tc>
    </w:tr>
  </w:tbl>
  <w:p w14:paraId="1F27CB70" w14:textId="77777777" w:rsidR="004416D3" w:rsidRDefault="004416D3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069BE" w14:textId="2E8B9F26" w:rsidR="004416D3" w:rsidRDefault="004416D3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5F1E03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5F1E03">
      <w:rPr>
        <w:noProof/>
      </w:rPr>
      <w:t>2.0.2-rc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5F1E03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4D171" w14:textId="15896C24" w:rsidR="004416D3" w:rsidRDefault="004416D3" w:rsidP="00C80AA7">
    <w:pPr>
      <w:pStyle w:val="Koptekst"/>
    </w:pPr>
    <w:r w:rsidRPr="00A771D1">
      <w:t>Toepassingsprofiel</w:t>
    </w:r>
    <w:r w:rsidRPr="002F3B2E">
      <w:t xml:space="preserve"> </w:t>
    </w:r>
    <w:r w:rsidRPr="049A10CD">
      <w:fldChar w:fldCharType="begin"/>
    </w:r>
    <w:r>
      <w:rPr>
        <w:noProof/>
      </w:rPr>
      <w:instrText xml:space="preserve"> DOCVARIABLE ID01 </w:instrText>
    </w:r>
    <w:r w:rsidRPr="049A10CD">
      <w:fldChar w:fldCharType="separate"/>
    </w:r>
    <w:r w:rsidR="005F1E03">
      <w:rPr>
        <w:noProof/>
      </w:rPr>
      <w:t>AMvB/MR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ID04 </w:instrText>
    </w:r>
    <w:r w:rsidRPr="049A10CD">
      <w:fldChar w:fldCharType="separate"/>
    </w:r>
    <w:r w:rsidR="005F1E03">
      <w:rPr>
        <w:noProof/>
      </w:rPr>
      <w:t>2.0.2-rc</w:t>
    </w:r>
    <w:r w:rsidRPr="049A10CD">
      <w:fldChar w:fldCharType="end"/>
    </w:r>
    <w:r>
      <w:t xml:space="preserve"> | </w:t>
    </w:r>
    <w:r w:rsidRPr="049A10CD">
      <w:fldChar w:fldCharType="begin"/>
    </w:r>
    <w:r>
      <w:rPr>
        <w:noProof/>
      </w:rPr>
      <w:instrText xml:space="preserve"> DOCVARIABLE ID05 </w:instrText>
    </w:r>
    <w:r w:rsidRPr="049A10CD">
      <w:fldChar w:fldCharType="separate"/>
    </w:r>
    <w:r w:rsidR="005F1E03">
      <w:rPr>
        <w:noProof/>
      </w:rPr>
      <w:t>STandaard Officiële Publicaties met specifieke ToepassingsProfielen voor OmgevingsDocumenten (STOP/TPOD)</w:t>
    </w:r>
    <w:r w:rsidRPr="049A10CD">
      <w:fldChar w:fldCharType="end"/>
    </w:r>
    <w:r>
      <w:t xml:space="preserve"> | </w:t>
    </w:r>
    <w:r>
      <w:fldChar w:fldCharType="begin"/>
    </w:r>
    <w:r>
      <w:instrText xml:space="preserve"> SAVEDATE \@ "d MMMM yyyy" </w:instrText>
    </w:r>
    <w:r>
      <w:fldChar w:fldCharType="separate"/>
    </w:r>
    <w:r w:rsidR="008359E0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F488BE96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3"/>
  </w:num>
  <w:num w:numId="4">
    <w:abstractNumId w:val="7"/>
  </w:num>
  <w:num w:numId="5">
    <w:abstractNumId w:val="25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3"/>
  </w:num>
  <w:num w:numId="8">
    <w:abstractNumId w:val="18"/>
  </w:num>
  <w:num w:numId="9">
    <w:abstractNumId w:val="17"/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13"/>
  </w:num>
  <w:num w:numId="13">
    <w:abstractNumId w:val="2"/>
  </w:num>
  <w:num w:numId="14">
    <w:abstractNumId w:val="14"/>
  </w:num>
  <w:num w:numId="15">
    <w:abstractNumId w:val="8"/>
  </w:num>
  <w:num w:numId="16">
    <w:abstractNumId w:val="11"/>
  </w:num>
  <w:num w:numId="17">
    <w:abstractNumId w:val="20"/>
  </w:num>
  <w:num w:numId="18">
    <w:abstractNumId w:val="16"/>
  </w:num>
  <w:num w:numId="19">
    <w:abstractNumId w:val="10"/>
  </w:num>
  <w:num w:numId="20">
    <w:abstractNumId w:val="5"/>
  </w:num>
  <w:num w:numId="21">
    <w:abstractNumId w:val="1"/>
  </w:num>
  <w:num w:numId="22">
    <w:abstractNumId w:val="12"/>
  </w:num>
  <w:num w:numId="23">
    <w:abstractNumId w:val="24"/>
  </w:num>
  <w:num w:numId="24">
    <w:abstractNumId w:val="15"/>
  </w:num>
  <w:num w:numId="25">
    <w:abstractNumId w:val="19"/>
  </w:num>
  <w:num w:numId="26">
    <w:abstractNumId w:val="4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0"/>
  </w:num>
  <w:num w:numId="39">
    <w:abstractNumId w:val="21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2.0.2-rc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DB3"/>
    <w:rsid w:val="000060C7"/>
    <w:rsid w:val="000067A6"/>
    <w:rsid w:val="00006D82"/>
    <w:rsid w:val="000104E4"/>
    <w:rsid w:val="00010818"/>
    <w:rsid w:val="00011189"/>
    <w:rsid w:val="000112CC"/>
    <w:rsid w:val="0001173D"/>
    <w:rsid w:val="00011B02"/>
    <w:rsid w:val="0001220E"/>
    <w:rsid w:val="00012234"/>
    <w:rsid w:val="00012390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9C6"/>
    <w:rsid w:val="00024DDB"/>
    <w:rsid w:val="000255D4"/>
    <w:rsid w:val="0002577A"/>
    <w:rsid w:val="000257AF"/>
    <w:rsid w:val="000263B1"/>
    <w:rsid w:val="00026469"/>
    <w:rsid w:val="000309A8"/>
    <w:rsid w:val="00030DF8"/>
    <w:rsid w:val="00031413"/>
    <w:rsid w:val="0003249B"/>
    <w:rsid w:val="000343B2"/>
    <w:rsid w:val="00035B5E"/>
    <w:rsid w:val="00035E6A"/>
    <w:rsid w:val="00035F51"/>
    <w:rsid w:val="000361E2"/>
    <w:rsid w:val="00036576"/>
    <w:rsid w:val="000365AA"/>
    <w:rsid w:val="000370E7"/>
    <w:rsid w:val="0004014B"/>
    <w:rsid w:val="00041DD1"/>
    <w:rsid w:val="00041FA1"/>
    <w:rsid w:val="00043367"/>
    <w:rsid w:val="00043AA1"/>
    <w:rsid w:val="00044170"/>
    <w:rsid w:val="0004595B"/>
    <w:rsid w:val="00045E9F"/>
    <w:rsid w:val="000464A2"/>
    <w:rsid w:val="00046EE3"/>
    <w:rsid w:val="00047A4A"/>
    <w:rsid w:val="00047D86"/>
    <w:rsid w:val="00047E71"/>
    <w:rsid w:val="00050760"/>
    <w:rsid w:val="00051684"/>
    <w:rsid w:val="00053581"/>
    <w:rsid w:val="00053670"/>
    <w:rsid w:val="00053ED2"/>
    <w:rsid w:val="00054566"/>
    <w:rsid w:val="00054884"/>
    <w:rsid w:val="000548F8"/>
    <w:rsid w:val="00054DC0"/>
    <w:rsid w:val="00055CDA"/>
    <w:rsid w:val="00055EDA"/>
    <w:rsid w:val="00056D6C"/>
    <w:rsid w:val="0005746B"/>
    <w:rsid w:val="00057BCB"/>
    <w:rsid w:val="00057D74"/>
    <w:rsid w:val="000600FC"/>
    <w:rsid w:val="000608FF"/>
    <w:rsid w:val="00060BAB"/>
    <w:rsid w:val="000620B6"/>
    <w:rsid w:val="00063455"/>
    <w:rsid w:val="00063A47"/>
    <w:rsid w:val="00064286"/>
    <w:rsid w:val="0006519A"/>
    <w:rsid w:val="0006627B"/>
    <w:rsid w:val="000668DB"/>
    <w:rsid w:val="00066B0B"/>
    <w:rsid w:val="00067015"/>
    <w:rsid w:val="00067676"/>
    <w:rsid w:val="000677E5"/>
    <w:rsid w:val="0007111C"/>
    <w:rsid w:val="00071D0C"/>
    <w:rsid w:val="0007206C"/>
    <w:rsid w:val="00072973"/>
    <w:rsid w:val="00073801"/>
    <w:rsid w:val="00074689"/>
    <w:rsid w:val="00075786"/>
    <w:rsid w:val="00075F31"/>
    <w:rsid w:val="00076B1B"/>
    <w:rsid w:val="000772F7"/>
    <w:rsid w:val="000774B5"/>
    <w:rsid w:val="00080327"/>
    <w:rsid w:val="00081033"/>
    <w:rsid w:val="00081567"/>
    <w:rsid w:val="00081A1A"/>
    <w:rsid w:val="00081B6A"/>
    <w:rsid w:val="00081FDA"/>
    <w:rsid w:val="00082124"/>
    <w:rsid w:val="00082308"/>
    <w:rsid w:val="000848A7"/>
    <w:rsid w:val="00085125"/>
    <w:rsid w:val="000855D7"/>
    <w:rsid w:val="00085C46"/>
    <w:rsid w:val="00085DC5"/>
    <w:rsid w:val="0009034B"/>
    <w:rsid w:val="0009073F"/>
    <w:rsid w:val="00090A13"/>
    <w:rsid w:val="000917D7"/>
    <w:rsid w:val="00092997"/>
    <w:rsid w:val="00092B6F"/>
    <w:rsid w:val="00092C89"/>
    <w:rsid w:val="00093042"/>
    <w:rsid w:val="00093315"/>
    <w:rsid w:val="00093777"/>
    <w:rsid w:val="00093EB8"/>
    <w:rsid w:val="0009645D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93"/>
    <w:rsid w:val="000B39CB"/>
    <w:rsid w:val="000B437C"/>
    <w:rsid w:val="000B4E74"/>
    <w:rsid w:val="000B4F2A"/>
    <w:rsid w:val="000B51B2"/>
    <w:rsid w:val="000B5CB0"/>
    <w:rsid w:val="000B60D4"/>
    <w:rsid w:val="000B6AB2"/>
    <w:rsid w:val="000B6CB3"/>
    <w:rsid w:val="000B6FB1"/>
    <w:rsid w:val="000C0794"/>
    <w:rsid w:val="000C0F26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3C52"/>
    <w:rsid w:val="000D3CA9"/>
    <w:rsid w:val="000D7119"/>
    <w:rsid w:val="000D796F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7E"/>
    <w:rsid w:val="000F4526"/>
    <w:rsid w:val="000F4AF5"/>
    <w:rsid w:val="000F4CDD"/>
    <w:rsid w:val="000F526C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4C66"/>
    <w:rsid w:val="001059CC"/>
    <w:rsid w:val="00106245"/>
    <w:rsid w:val="001065A8"/>
    <w:rsid w:val="0010683D"/>
    <w:rsid w:val="00106C4A"/>
    <w:rsid w:val="0010702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D14"/>
    <w:rsid w:val="00113E1E"/>
    <w:rsid w:val="00114EC6"/>
    <w:rsid w:val="0011565A"/>
    <w:rsid w:val="00116B3F"/>
    <w:rsid w:val="00116F13"/>
    <w:rsid w:val="0012016D"/>
    <w:rsid w:val="0012074D"/>
    <w:rsid w:val="00120DF0"/>
    <w:rsid w:val="00121BC8"/>
    <w:rsid w:val="00122403"/>
    <w:rsid w:val="001226B7"/>
    <w:rsid w:val="00122BF5"/>
    <w:rsid w:val="00125718"/>
    <w:rsid w:val="00125F5C"/>
    <w:rsid w:val="00127024"/>
    <w:rsid w:val="00127DF3"/>
    <w:rsid w:val="001300FD"/>
    <w:rsid w:val="00130200"/>
    <w:rsid w:val="00130473"/>
    <w:rsid w:val="001317CC"/>
    <w:rsid w:val="00132CAC"/>
    <w:rsid w:val="00133381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5054"/>
    <w:rsid w:val="00145566"/>
    <w:rsid w:val="00145E4A"/>
    <w:rsid w:val="0014607D"/>
    <w:rsid w:val="0014671B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7D2"/>
    <w:rsid w:val="00183CD6"/>
    <w:rsid w:val="00184BD0"/>
    <w:rsid w:val="00184FE9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5127"/>
    <w:rsid w:val="001A6148"/>
    <w:rsid w:val="001A63CD"/>
    <w:rsid w:val="001A7270"/>
    <w:rsid w:val="001A768A"/>
    <w:rsid w:val="001B06A1"/>
    <w:rsid w:val="001B0E2C"/>
    <w:rsid w:val="001B1257"/>
    <w:rsid w:val="001B1F85"/>
    <w:rsid w:val="001B205A"/>
    <w:rsid w:val="001B499F"/>
    <w:rsid w:val="001B4D7C"/>
    <w:rsid w:val="001B524B"/>
    <w:rsid w:val="001B5578"/>
    <w:rsid w:val="001B5E8C"/>
    <w:rsid w:val="001B6309"/>
    <w:rsid w:val="001B632F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E0"/>
    <w:rsid w:val="001C266A"/>
    <w:rsid w:val="001C2A1A"/>
    <w:rsid w:val="001C30FA"/>
    <w:rsid w:val="001C4135"/>
    <w:rsid w:val="001C4B4B"/>
    <w:rsid w:val="001C4BF1"/>
    <w:rsid w:val="001C4F82"/>
    <w:rsid w:val="001C57FA"/>
    <w:rsid w:val="001C77E3"/>
    <w:rsid w:val="001C7AC9"/>
    <w:rsid w:val="001D012B"/>
    <w:rsid w:val="001D1355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8BF"/>
    <w:rsid w:val="001E33B1"/>
    <w:rsid w:val="001E3604"/>
    <w:rsid w:val="001E4668"/>
    <w:rsid w:val="001E52E1"/>
    <w:rsid w:val="001E5999"/>
    <w:rsid w:val="001E5A88"/>
    <w:rsid w:val="001E61EA"/>
    <w:rsid w:val="001E6314"/>
    <w:rsid w:val="001E6C7C"/>
    <w:rsid w:val="001E72D3"/>
    <w:rsid w:val="001F0032"/>
    <w:rsid w:val="001F092A"/>
    <w:rsid w:val="001F119F"/>
    <w:rsid w:val="001F1B6D"/>
    <w:rsid w:val="001F3169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951"/>
    <w:rsid w:val="00206783"/>
    <w:rsid w:val="002067C8"/>
    <w:rsid w:val="00206A75"/>
    <w:rsid w:val="00206AB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A05"/>
    <w:rsid w:val="00212B98"/>
    <w:rsid w:val="00212C63"/>
    <w:rsid w:val="0021446E"/>
    <w:rsid w:val="00214AA3"/>
    <w:rsid w:val="00214B23"/>
    <w:rsid w:val="00215268"/>
    <w:rsid w:val="002160BB"/>
    <w:rsid w:val="0021620B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995"/>
    <w:rsid w:val="00231C00"/>
    <w:rsid w:val="00232E83"/>
    <w:rsid w:val="00233A44"/>
    <w:rsid w:val="00234603"/>
    <w:rsid w:val="0023648D"/>
    <w:rsid w:val="002367CE"/>
    <w:rsid w:val="00236AF5"/>
    <w:rsid w:val="00236C5B"/>
    <w:rsid w:val="00236D01"/>
    <w:rsid w:val="00240883"/>
    <w:rsid w:val="002409EA"/>
    <w:rsid w:val="00240E73"/>
    <w:rsid w:val="00241759"/>
    <w:rsid w:val="00241B53"/>
    <w:rsid w:val="00242804"/>
    <w:rsid w:val="00242961"/>
    <w:rsid w:val="00242C3A"/>
    <w:rsid w:val="00242ED7"/>
    <w:rsid w:val="002437CD"/>
    <w:rsid w:val="0024406A"/>
    <w:rsid w:val="002440C0"/>
    <w:rsid w:val="00244826"/>
    <w:rsid w:val="00244E81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5171"/>
    <w:rsid w:val="002755C9"/>
    <w:rsid w:val="00280A07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63A7"/>
    <w:rsid w:val="00296A81"/>
    <w:rsid w:val="00296FBD"/>
    <w:rsid w:val="002970BD"/>
    <w:rsid w:val="002A1323"/>
    <w:rsid w:val="002A1D55"/>
    <w:rsid w:val="002A1F1D"/>
    <w:rsid w:val="002A1F70"/>
    <w:rsid w:val="002A2B3F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494"/>
    <w:rsid w:val="002D2A53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EF0"/>
    <w:rsid w:val="002F1F53"/>
    <w:rsid w:val="002F223E"/>
    <w:rsid w:val="002F2BFA"/>
    <w:rsid w:val="002F3494"/>
    <w:rsid w:val="002F3B2E"/>
    <w:rsid w:val="002F3CA5"/>
    <w:rsid w:val="002F4DC6"/>
    <w:rsid w:val="002F5E37"/>
    <w:rsid w:val="002F6D10"/>
    <w:rsid w:val="002F74A5"/>
    <w:rsid w:val="002F77FC"/>
    <w:rsid w:val="002F7809"/>
    <w:rsid w:val="00301A8C"/>
    <w:rsid w:val="00301B29"/>
    <w:rsid w:val="00301B45"/>
    <w:rsid w:val="003029CD"/>
    <w:rsid w:val="00302F54"/>
    <w:rsid w:val="00303309"/>
    <w:rsid w:val="00303AEE"/>
    <w:rsid w:val="00304DC1"/>
    <w:rsid w:val="003051EF"/>
    <w:rsid w:val="00305A7C"/>
    <w:rsid w:val="0030612E"/>
    <w:rsid w:val="00306FD5"/>
    <w:rsid w:val="00307EE7"/>
    <w:rsid w:val="003102B9"/>
    <w:rsid w:val="003106A1"/>
    <w:rsid w:val="003110DA"/>
    <w:rsid w:val="00312019"/>
    <w:rsid w:val="003128B8"/>
    <w:rsid w:val="00313AE9"/>
    <w:rsid w:val="00313CF4"/>
    <w:rsid w:val="00314145"/>
    <w:rsid w:val="00314E90"/>
    <w:rsid w:val="003155AA"/>
    <w:rsid w:val="00315ACA"/>
    <w:rsid w:val="003168AD"/>
    <w:rsid w:val="00317727"/>
    <w:rsid w:val="00317B3A"/>
    <w:rsid w:val="00320568"/>
    <w:rsid w:val="00320CE4"/>
    <w:rsid w:val="003211E0"/>
    <w:rsid w:val="00321B8A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49C"/>
    <w:rsid w:val="00331D05"/>
    <w:rsid w:val="00332387"/>
    <w:rsid w:val="00335D91"/>
    <w:rsid w:val="0033601D"/>
    <w:rsid w:val="00336976"/>
    <w:rsid w:val="00337078"/>
    <w:rsid w:val="003375C1"/>
    <w:rsid w:val="003376D1"/>
    <w:rsid w:val="00340F55"/>
    <w:rsid w:val="00340FA3"/>
    <w:rsid w:val="003410FD"/>
    <w:rsid w:val="0034290A"/>
    <w:rsid w:val="00343165"/>
    <w:rsid w:val="00343BCA"/>
    <w:rsid w:val="00344168"/>
    <w:rsid w:val="00344518"/>
    <w:rsid w:val="00345C17"/>
    <w:rsid w:val="003461B5"/>
    <w:rsid w:val="0034688E"/>
    <w:rsid w:val="00346AD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532"/>
    <w:rsid w:val="003556F7"/>
    <w:rsid w:val="0035587E"/>
    <w:rsid w:val="0035631E"/>
    <w:rsid w:val="00356D60"/>
    <w:rsid w:val="00356EF7"/>
    <w:rsid w:val="00360270"/>
    <w:rsid w:val="003614D8"/>
    <w:rsid w:val="0036172C"/>
    <w:rsid w:val="00362177"/>
    <w:rsid w:val="003638CE"/>
    <w:rsid w:val="003638F1"/>
    <w:rsid w:val="00363946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1666"/>
    <w:rsid w:val="00382A20"/>
    <w:rsid w:val="00382B72"/>
    <w:rsid w:val="003834AB"/>
    <w:rsid w:val="003838F7"/>
    <w:rsid w:val="00384C5C"/>
    <w:rsid w:val="00384D3B"/>
    <w:rsid w:val="00385AAF"/>
    <w:rsid w:val="0038748C"/>
    <w:rsid w:val="00387581"/>
    <w:rsid w:val="00387827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8EE"/>
    <w:rsid w:val="003B006E"/>
    <w:rsid w:val="003B1013"/>
    <w:rsid w:val="003B14EB"/>
    <w:rsid w:val="003B1ACB"/>
    <w:rsid w:val="003B2A48"/>
    <w:rsid w:val="003B43B4"/>
    <w:rsid w:val="003B4AB7"/>
    <w:rsid w:val="003B4F41"/>
    <w:rsid w:val="003B529C"/>
    <w:rsid w:val="003B5972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782"/>
    <w:rsid w:val="003C6272"/>
    <w:rsid w:val="003C6D60"/>
    <w:rsid w:val="003C6DC9"/>
    <w:rsid w:val="003C79A9"/>
    <w:rsid w:val="003D0B14"/>
    <w:rsid w:val="003D0D12"/>
    <w:rsid w:val="003D162F"/>
    <w:rsid w:val="003D2817"/>
    <w:rsid w:val="003D668B"/>
    <w:rsid w:val="003D66B9"/>
    <w:rsid w:val="003D6DA3"/>
    <w:rsid w:val="003E0129"/>
    <w:rsid w:val="003E0B0F"/>
    <w:rsid w:val="003E3A6B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B4C"/>
    <w:rsid w:val="00402FEB"/>
    <w:rsid w:val="00403064"/>
    <w:rsid w:val="00403EDF"/>
    <w:rsid w:val="004048A4"/>
    <w:rsid w:val="004049A5"/>
    <w:rsid w:val="0041041D"/>
    <w:rsid w:val="0041063E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57DC"/>
    <w:rsid w:val="00485FEB"/>
    <w:rsid w:val="004866CD"/>
    <w:rsid w:val="0049061A"/>
    <w:rsid w:val="00490EA4"/>
    <w:rsid w:val="0049157E"/>
    <w:rsid w:val="0049194C"/>
    <w:rsid w:val="00491992"/>
    <w:rsid w:val="00491BD6"/>
    <w:rsid w:val="004920A1"/>
    <w:rsid w:val="00492E88"/>
    <w:rsid w:val="004937D1"/>
    <w:rsid w:val="00493D9A"/>
    <w:rsid w:val="00495A21"/>
    <w:rsid w:val="004A03C5"/>
    <w:rsid w:val="004A05B5"/>
    <w:rsid w:val="004A17AB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B16"/>
    <w:rsid w:val="004C58CA"/>
    <w:rsid w:val="004C79E9"/>
    <w:rsid w:val="004D0F73"/>
    <w:rsid w:val="004D1935"/>
    <w:rsid w:val="004D2AA0"/>
    <w:rsid w:val="004D3640"/>
    <w:rsid w:val="004D386B"/>
    <w:rsid w:val="004D41BB"/>
    <w:rsid w:val="004D5699"/>
    <w:rsid w:val="004D5A1B"/>
    <w:rsid w:val="004D5B95"/>
    <w:rsid w:val="004D76A7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8FC"/>
    <w:rsid w:val="004F61F4"/>
    <w:rsid w:val="004F75DA"/>
    <w:rsid w:val="0050125E"/>
    <w:rsid w:val="00501D28"/>
    <w:rsid w:val="00501F35"/>
    <w:rsid w:val="00502501"/>
    <w:rsid w:val="00502798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F16"/>
    <w:rsid w:val="00527282"/>
    <w:rsid w:val="005273DC"/>
    <w:rsid w:val="00527E06"/>
    <w:rsid w:val="00530946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A4A"/>
    <w:rsid w:val="0053624D"/>
    <w:rsid w:val="0053628D"/>
    <w:rsid w:val="0053780C"/>
    <w:rsid w:val="00541101"/>
    <w:rsid w:val="0054137E"/>
    <w:rsid w:val="00541AE3"/>
    <w:rsid w:val="00542382"/>
    <w:rsid w:val="005440B8"/>
    <w:rsid w:val="00545BA1"/>
    <w:rsid w:val="00545D39"/>
    <w:rsid w:val="00546CC0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54E6"/>
    <w:rsid w:val="00575B31"/>
    <w:rsid w:val="005760F5"/>
    <w:rsid w:val="00576534"/>
    <w:rsid w:val="00576DF8"/>
    <w:rsid w:val="00577639"/>
    <w:rsid w:val="005777FC"/>
    <w:rsid w:val="00577995"/>
    <w:rsid w:val="005801A1"/>
    <w:rsid w:val="0058133D"/>
    <w:rsid w:val="00581510"/>
    <w:rsid w:val="00584A8D"/>
    <w:rsid w:val="00585358"/>
    <w:rsid w:val="005859F8"/>
    <w:rsid w:val="00585B72"/>
    <w:rsid w:val="00586461"/>
    <w:rsid w:val="00586C65"/>
    <w:rsid w:val="00591F2B"/>
    <w:rsid w:val="0059202B"/>
    <w:rsid w:val="00593384"/>
    <w:rsid w:val="005963C9"/>
    <w:rsid w:val="00596CAA"/>
    <w:rsid w:val="005974CA"/>
    <w:rsid w:val="005A0250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1A28"/>
    <w:rsid w:val="005B282B"/>
    <w:rsid w:val="005B2CC7"/>
    <w:rsid w:val="005B2DA4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3E9"/>
    <w:rsid w:val="005C6EEA"/>
    <w:rsid w:val="005C6FA8"/>
    <w:rsid w:val="005D00C4"/>
    <w:rsid w:val="005D2FB8"/>
    <w:rsid w:val="005D385C"/>
    <w:rsid w:val="005D3D3B"/>
    <w:rsid w:val="005D4273"/>
    <w:rsid w:val="005D4D67"/>
    <w:rsid w:val="005D4E3C"/>
    <w:rsid w:val="005D5656"/>
    <w:rsid w:val="005D6127"/>
    <w:rsid w:val="005D6154"/>
    <w:rsid w:val="005D6DCD"/>
    <w:rsid w:val="005D7362"/>
    <w:rsid w:val="005D7D73"/>
    <w:rsid w:val="005E0C2B"/>
    <w:rsid w:val="005E2160"/>
    <w:rsid w:val="005E2843"/>
    <w:rsid w:val="005E28D2"/>
    <w:rsid w:val="005E28EA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6258"/>
    <w:rsid w:val="005F69CE"/>
    <w:rsid w:val="005F6BA5"/>
    <w:rsid w:val="005F7AF3"/>
    <w:rsid w:val="005F7C46"/>
    <w:rsid w:val="005F7DFB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6286"/>
    <w:rsid w:val="00616CE2"/>
    <w:rsid w:val="00617E61"/>
    <w:rsid w:val="00620076"/>
    <w:rsid w:val="00620D45"/>
    <w:rsid w:val="006224A6"/>
    <w:rsid w:val="006236F1"/>
    <w:rsid w:val="006256FC"/>
    <w:rsid w:val="00625E22"/>
    <w:rsid w:val="00625E81"/>
    <w:rsid w:val="006267E2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7823"/>
    <w:rsid w:val="006401CA"/>
    <w:rsid w:val="00640201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2EFF"/>
    <w:rsid w:val="0065391F"/>
    <w:rsid w:val="00653FF6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848"/>
    <w:rsid w:val="0067245F"/>
    <w:rsid w:val="00672AE0"/>
    <w:rsid w:val="00673486"/>
    <w:rsid w:val="0067406C"/>
    <w:rsid w:val="0067484E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5D5"/>
    <w:rsid w:val="0069208A"/>
    <w:rsid w:val="0069365A"/>
    <w:rsid w:val="0069384E"/>
    <w:rsid w:val="00694672"/>
    <w:rsid w:val="006947AC"/>
    <w:rsid w:val="0069494A"/>
    <w:rsid w:val="00694BA4"/>
    <w:rsid w:val="00694D0A"/>
    <w:rsid w:val="0069522A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4A8F"/>
    <w:rsid w:val="006A4BA7"/>
    <w:rsid w:val="006A4C94"/>
    <w:rsid w:val="006A5136"/>
    <w:rsid w:val="006A57D6"/>
    <w:rsid w:val="006A630B"/>
    <w:rsid w:val="006A65BD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5DC"/>
    <w:rsid w:val="006D24C8"/>
    <w:rsid w:val="006D5420"/>
    <w:rsid w:val="006D60EE"/>
    <w:rsid w:val="006D69DA"/>
    <w:rsid w:val="006E0457"/>
    <w:rsid w:val="006E058F"/>
    <w:rsid w:val="006E0785"/>
    <w:rsid w:val="006E1788"/>
    <w:rsid w:val="006E2A29"/>
    <w:rsid w:val="006E3D03"/>
    <w:rsid w:val="006E3DBB"/>
    <w:rsid w:val="006E3EB2"/>
    <w:rsid w:val="006E40C8"/>
    <w:rsid w:val="006E4621"/>
    <w:rsid w:val="006E6D6E"/>
    <w:rsid w:val="006E6F82"/>
    <w:rsid w:val="006E701A"/>
    <w:rsid w:val="006E7B1D"/>
    <w:rsid w:val="006E7CB2"/>
    <w:rsid w:val="006F03ED"/>
    <w:rsid w:val="006F06CE"/>
    <w:rsid w:val="006F1E47"/>
    <w:rsid w:val="006F1E76"/>
    <w:rsid w:val="006F29A1"/>
    <w:rsid w:val="006F2ABC"/>
    <w:rsid w:val="006F2D04"/>
    <w:rsid w:val="006F3F44"/>
    <w:rsid w:val="006F44F7"/>
    <w:rsid w:val="006F754C"/>
    <w:rsid w:val="006F7628"/>
    <w:rsid w:val="006F7EB3"/>
    <w:rsid w:val="00700107"/>
    <w:rsid w:val="00700497"/>
    <w:rsid w:val="0070181C"/>
    <w:rsid w:val="00702CCE"/>
    <w:rsid w:val="00703283"/>
    <w:rsid w:val="00703FD7"/>
    <w:rsid w:val="00705726"/>
    <w:rsid w:val="00705CAC"/>
    <w:rsid w:val="007065D8"/>
    <w:rsid w:val="00706E29"/>
    <w:rsid w:val="00706E2A"/>
    <w:rsid w:val="0071005A"/>
    <w:rsid w:val="00710201"/>
    <w:rsid w:val="00710524"/>
    <w:rsid w:val="00710F2C"/>
    <w:rsid w:val="00711A61"/>
    <w:rsid w:val="00711AEB"/>
    <w:rsid w:val="007139C2"/>
    <w:rsid w:val="00713F5C"/>
    <w:rsid w:val="007149DD"/>
    <w:rsid w:val="00717152"/>
    <w:rsid w:val="00720BEA"/>
    <w:rsid w:val="00721793"/>
    <w:rsid w:val="00723AAA"/>
    <w:rsid w:val="00724CE9"/>
    <w:rsid w:val="00725461"/>
    <w:rsid w:val="00726250"/>
    <w:rsid w:val="00726482"/>
    <w:rsid w:val="007264EE"/>
    <w:rsid w:val="00726A52"/>
    <w:rsid w:val="007274A3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6C4"/>
    <w:rsid w:val="0078079B"/>
    <w:rsid w:val="00782DB6"/>
    <w:rsid w:val="00783885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72FF"/>
    <w:rsid w:val="007A7ACA"/>
    <w:rsid w:val="007A7E87"/>
    <w:rsid w:val="007A7F8E"/>
    <w:rsid w:val="007B028B"/>
    <w:rsid w:val="007B10C7"/>
    <w:rsid w:val="007B12E3"/>
    <w:rsid w:val="007B1D63"/>
    <w:rsid w:val="007B1DB6"/>
    <w:rsid w:val="007B2601"/>
    <w:rsid w:val="007B39FB"/>
    <w:rsid w:val="007B556B"/>
    <w:rsid w:val="007B593E"/>
    <w:rsid w:val="007B74BD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5055"/>
    <w:rsid w:val="007C5878"/>
    <w:rsid w:val="007C6497"/>
    <w:rsid w:val="007C6BF7"/>
    <w:rsid w:val="007C742B"/>
    <w:rsid w:val="007D00AA"/>
    <w:rsid w:val="007D12D5"/>
    <w:rsid w:val="007D2CF9"/>
    <w:rsid w:val="007D4260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7409"/>
    <w:rsid w:val="007E7B84"/>
    <w:rsid w:val="007F010B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5063"/>
    <w:rsid w:val="00815241"/>
    <w:rsid w:val="00815759"/>
    <w:rsid w:val="00815D24"/>
    <w:rsid w:val="0081611D"/>
    <w:rsid w:val="00817167"/>
    <w:rsid w:val="00817B22"/>
    <w:rsid w:val="0082046B"/>
    <w:rsid w:val="00820BBA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60088"/>
    <w:rsid w:val="008614BE"/>
    <w:rsid w:val="008617C6"/>
    <w:rsid w:val="00861D59"/>
    <w:rsid w:val="008621C3"/>
    <w:rsid w:val="00862EFE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B43"/>
    <w:rsid w:val="00875D65"/>
    <w:rsid w:val="0088013F"/>
    <w:rsid w:val="00880C81"/>
    <w:rsid w:val="00880D00"/>
    <w:rsid w:val="00881910"/>
    <w:rsid w:val="00881EED"/>
    <w:rsid w:val="008827A1"/>
    <w:rsid w:val="00883464"/>
    <w:rsid w:val="00884066"/>
    <w:rsid w:val="00884581"/>
    <w:rsid w:val="00885AC3"/>
    <w:rsid w:val="008865E4"/>
    <w:rsid w:val="00886ABC"/>
    <w:rsid w:val="008870B1"/>
    <w:rsid w:val="00887EC6"/>
    <w:rsid w:val="0089003A"/>
    <w:rsid w:val="00890578"/>
    <w:rsid w:val="00890651"/>
    <w:rsid w:val="00890CA8"/>
    <w:rsid w:val="008912F1"/>
    <w:rsid w:val="00892073"/>
    <w:rsid w:val="008924BB"/>
    <w:rsid w:val="0089259E"/>
    <w:rsid w:val="0089288F"/>
    <w:rsid w:val="00892D6A"/>
    <w:rsid w:val="008937CA"/>
    <w:rsid w:val="008941AE"/>
    <w:rsid w:val="00895625"/>
    <w:rsid w:val="00897BB6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18BA"/>
    <w:rsid w:val="008C36D4"/>
    <w:rsid w:val="008C3C04"/>
    <w:rsid w:val="008C3CCE"/>
    <w:rsid w:val="008C5AD3"/>
    <w:rsid w:val="008C689A"/>
    <w:rsid w:val="008C71AD"/>
    <w:rsid w:val="008D0818"/>
    <w:rsid w:val="008D0A38"/>
    <w:rsid w:val="008D129C"/>
    <w:rsid w:val="008D1C29"/>
    <w:rsid w:val="008D2478"/>
    <w:rsid w:val="008D2BA0"/>
    <w:rsid w:val="008D31AD"/>
    <w:rsid w:val="008D3F61"/>
    <w:rsid w:val="008D50D8"/>
    <w:rsid w:val="008D51EA"/>
    <w:rsid w:val="008D74AE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46"/>
    <w:rsid w:val="0090642E"/>
    <w:rsid w:val="00907399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F1A"/>
    <w:rsid w:val="00921038"/>
    <w:rsid w:val="009214F2"/>
    <w:rsid w:val="00922197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FFA"/>
    <w:rsid w:val="009420EA"/>
    <w:rsid w:val="00942B00"/>
    <w:rsid w:val="009431D4"/>
    <w:rsid w:val="0094337B"/>
    <w:rsid w:val="00943794"/>
    <w:rsid w:val="0094385C"/>
    <w:rsid w:val="00943DB3"/>
    <w:rsid w:val="00944CBF"/>
    <w:rsid w:val="00944FAB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30B3"/>
    <w:rsid w:val="00963FD2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C16"/>
    <w:rsid w:val="009C20BB"/>
    <w:rsid w:val="009C29F7"/>
    <w:rsid w:val="009C3480"/>
    <w:rsid w:val="009C3A5E"/>
    <w:rsid w:val="009C3B37"/>
    <w:rsid w:val="009C3BA8"/>
    <w:rsid w:val="009C526C"/>
    <w:rsid w:val="009C5609"/>
    <w:rsid w:val="009C591D"/>
    <w:rsid w:val="009C5EE5"/>
    <w:rsid w:val="009C5FE3"/>
    <w:rsid w:val="009C67CE"/>
    <w:rsid w:val="009C6E29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68FB"/>
    <w:rsid w:val="009D6D28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10B8"/>
    <w:rsid w:val="009F1CFF"/>
    <w:rsid w:val="009F2140"/>
    <w:rsid w:val="009F266D"/>
    <w:rsid w:val="009F28EE"/>
    <w:rsid w:val="009F28F6"/>
    <w:rsid w:val="009F2E42"/>
    <w:rsid w:val="009F5467"/>
    <w:rsid w:val="009F5541"/>
    <w:rsid w:val="009F5EBE"/>
    <w:rsid w:val="00A00FCA"/>
    <w:rsid w:val="00A00FD5"/>
    <w:rsid w:val="00A01BAD"/>
    <w:rsid w:val="00A026A5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426F"/>
    <w:rsid w:val="00A14971"/>
    <w:rsid w:val="00A14D06"/>
    <w:rsid w:val="00A1532F"/>
    <w:rsid w:val="00A15951"/>
    <w:rsid w:val="00A15A5C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FBB"/>
    <w:rsid w:val="00A30053"/>
    <w:rsid w:val="00A30054"/>
    <w:rsid w:val="00A3029E"/>
    <w:rsid w:val="00A3080E"/>
    <w:rsid w:val="00A30D48"/>
    <w:rsid w:val="00A31E17"/>
    <w:rsid w:val="00A32580"/>
    <w:rsid w:val="00A34947"/>
    <w:rsid w:val="00A35E98"/>
    <w:rsid w:val="00A365AF"/>
    <w:rsid w:val="00A36681"/>
    <w:rsid w:val="00A3695B"/>
    <w:rsid w:val="00A36F0A"/>
    <w:rsid w:val="00A37E02"/>
    <w:rsid w:val="00A405BA"/>
    <w:rsid w:val="00A41554"/>
    <w:rsid w:val="00A42610"/>
    <w:rsid w:val="00A42DE0"/>
    <w:rsid w:val="00A446D1"/>
    <w:rsid w:val="00A449F8"/>
    <w:rsid w:val="00A46AFB"/>
    <w:rsid w:val="00A46C4F"/>
    <w:rsid w:val="00A4783D"/>
    <w:rsid w:val="00A47FC7"/>
    <w:rsid w:val="00A505E0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881"/>
    <w:rsid w:val="00A57ABB"/>
    <w:rsid w:val="00A57B88"/>
    <w:rsid w:val="00A57EBD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3059"/>
    <w:rsid w:val="00A831D5"/>
    <w:rsid w:val="00A836D9"/>
    <w:rsid w:val="00A84635"/>
    <w:rsid w:val="00A85A75"/>
    <w:rsid w:val="00A86883"/>
    <w:rsid w:val="00A86FFA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C12C9"/>
    <w:rsid w:val="00AC2BBE"/>
    <w:rsid w:val="00AC311E"/>
    <w:rsid w:val="00AC3B2F"/>
    <w:rsid w:val="00AC4621"/>
    <w:rsid w:val="00AC46F5"/>
    <w:rsid w:val="00AC5201"/>
    <w:rsid w:val="00AC5B40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632"/>
    <w:rsid w:val="00AD5A82"/>
    <w:rsid w:val="00AD6433"/>
    <w:rsid w:val="00AE0710"/>
    <w:rsid w:val="00AE0988"/>
    <w:rsid w:val="00AE0A9B"/>
    <w:rsid w:val="00AE19F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13DA"/>
    <w:rsid w:val="00B22401"/>
    <w:rsid w:val="00B233D0"/>
    <w:rsid w:val="00B23FE5"/>
    <w:rsid w:val="00B257A1"/>
    <w:rsid w:val="00B26AEB"/>
    <w:rsid w:val="00B26F1D"/>
    <w:rsid w:val="00B277C3"/>
    <w:rsid w:val="00B30043"/>
    <w:rsid w:val="00B30C1A"/>
    <w:rsid w:val="00B319A8"/>
    <w:rsid w:val="00B32EF1"/>
    <w:rsid w:val="00B3376B"/>
    <w:rsid w:val="00B33DE9"/>
    <w:rsid w:val="00B33FDA"/>
    <w:rsid w:val="00B3487A"/>
    <w:rsid w:val="00B34EA5"/>
    <w:rsid w:val="00B369D3"/>
    <w:rsid w:val="00B36EBB"/>
    <w:rsid w:val="00B403A2"/>
    <w:rsid w:val="00B40504"/>
    <w:rsid w:val="00B40EAE"/>
    <w:rsid w:val="00B41D7D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A68"/>
    <w:rsid w:val="00B808BF"/>
    <w:rsid w:val="00B81D02"/>
    <w:rsid w:val="00B81E4B"/>
    <w:rsid w:val="00B81EAD"/>
    <w:rsid w:val="00B81F86"/>
    <w:rsid w:val="00B839DC"/>
    <w:rsid w:val="00B83E6C"/>
    <w:rsid w:val="00B84755"/>
    <w:rsid w:val="00B84D21"/>
    <w:rsid w:val="00B8639C"/>
    <w:rsid w:val="00B86FA4"/>
    <w:rsid w:val="00B879F3"/>
    <w:rsid w:val="00B87D6F"/>
    <w:rsid w:val="00B900CB"/>
    <w:rsid w:val="00B901AE"/>
    <w:rsid w:val="00B904BD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A00"/>
    <w:rsid w:val="00B95D4C"/>
    <w:rsid w:val="00B95E93"/>
    <w:rsid w:val="00B96589"/>
    <w:rsid w:val="00B96A5C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59FD"/>
    <w:rsid w:val="00BA5E16"/>
    <w:rsid w:val="00BA6834"/>
    <w:rsid w:val="00BA6B60"/>
    <w:rsid w:val="00BA6F65"/>
    <w:rsid w:val="00BA7820"/>
    <w:rsid w:val="00BB0D39"/>
    <w:rsid w:val="00BB1A90"/>
    <w:rsid w:val="00BB2B78"/>
    <w:rsid w:val="00BB2BEA"/>
    <w:rsid w:val="00BB3775"/>
    <w:rsid w:val="00BB4B0D"/>
    <w:rsid w:val="00BB4F3E"/>
    <w:rsid w:val="00BB56D6"/>
    <w:rsid w:val="00BB60C3"/>
    <w:rsid w:val="00BC1160"/>
    <w:rsid w:val="00BC190A"/>
    <w:rsid w:val="00BC1C2F"/>
    <w:rsid w:val="00BC2129"/>
    <w:rsid w:val="00BC21D2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E07"/>
    <w:rsid w:val="00BE41ED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7E93"/>
    <w:rsid w:val="00C07F87"/>
    <w:rsid w:val="00C1011A"/>
    <w:rsid w:val="00C10398"/>
    <w:rsid w:val="00C113BD"/>
    <w:rsid w:val="00C11873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1561"/>
    <w:rsid w:val="00C21F2B"/>
    <w:rsid w:val="00C220CD"/>
    <w:rsid w:val="00C22973"/>
    <w:rsid w:val="00C22F23"/>
    <w:rsid w:val="00C247CD"/>
    <w:rsid w:val="00C249DE"/>
    <w:rsid w:val="00C25A93"/>
    <w:rsid w:val="00C2670B"/>
    <w:rsid w:val="00C26FCC"/>
    <w:rsid w:val="00C271C3"/>
    <w:rsid w:val="00C274B9"/>
    <w:rsid w:val="00C27819"/>
    <w:rsid w:val="00C27A4B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101F"/>
    <w:rsid w:val="00CB1984"/>
    <w:rsid w:val="00CB1C59"/>
    <w:rsid w:val="00CB2879"/>
    <w:rsid w:val="00CB31D5"/>
    <w:rsid w:val="00CB3325"/>
    <w:rsid w:val="00CB5574"/>
    <w:rsid w:val="00CB5589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D1B14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FA"/>
    <w:rsid w:val="00CE1D9F"/>
    <w:rsid w:val="00CE1F36"/>
    <w:rsid w:val="00CE23B2"/>
    <w:rsid w:val="00CE2F3F"/>
    <w:rsid w:val="00CE3034"/>
    <w:rsid w:val="00CE31F6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4AAD"/>
    <w:rsid w:val="00D15386"/>
    <w:rsid w:val="00D15695"/>
    <w:rsid w:val="00D15AF3"/>
    <w:rsid w:val="00D16241"/>
    <w:rsid w:val="00D17C4C"/>
    <w:rsid w:val="00D20A50"/>
    <w:rsid w:val="00D21D37"/>
    <w:rsid w:val="00D221B4"/>
    <w:rsid w:val="00D2296A"/>
    <w:rsid w:val="00D24885"/>
    <w:rsid w:val="00D263D1"/>
    <w:rsid w:val="00D267CC"/>
    <w:rsid w:val="00D2780A"/>
    <w:rsid w:val="00D30FF1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50056"/>
    <w:rsid w:val="00D50274"/>
    <w:rsid w:val="00D510E7"/>
    <w:rsid w:val="00D513E1"/>
    <w:rsid w:val="00D52E73"/>
    <w:rsid w:val="00D5325A"/>
    <w:rsid w:val="00D53933"/>
    <w:rsid w:val="00D54A62"/>
    <w:rsid w:val="00D54E3E"/>
    <w:rsid w:val="00D5568F"/>
    <w:rsid w:val="00D57B41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73DF"/>
    <w:rsid w:val="00D67927"/>
    <w:rsid w:val="00D701F0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A7F"/>
    <w:rsid w:val="00DD303A"/>
    <w:rsid w:val="00DD45ED"/>
    <w:rsid w:val="00DD4918"/>
    <w:rsid w:val="00DD5221"/>
    <w:rsid w:val="00DD5358"/>
    <w:rsid w:val="00DD5462"/>
    <w:rsid w:val="00DD6E2F"/>
    <w:rsid w:val="00DE0011"/>
    <w:rsid w:val="00DE0A02"/>
    <w:rsid w:val="00DE1BB0"/>
    <w:rsid w:val="00DE206E"/>
    <w:rsid w:val="00DE2B87"/>
    <w:rsid w:val="00DE2F1B"/>
    <w:rsid w:val="00DE35BA"/>
    <w:rsid w:val="00DE399F"/>
    <w:rsid w:val="00DE3BD3"/>
    <w:rsid w:val="00DE3F21"/>
    <w:rsid w:val="00DE5765"/>
    <w:rsid w:val="00DE5DB1"/>
    <w:rsid w:val="00DE6668"/>
    <w:rsid w:val="00DE69C0"/>
    <w:rsid w:val="00DF0136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4B6"/>
    <w:rsid w:val="00E004BD"/>
    <w:rsid w:val="00E01319"/>
    <w:rsid w:val="00E01F19"/>
    <w:rsid w:val="00E0251E"/>
    <w:rsid w:val="00E02CA8"/>
    <w:rsid w:val="00E034D2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D2B"/>
    <w:rsid w:val="00E1705A"/>
    <w:rsid w:val="00E1717C"/>
    <w:rsid w:val="00E20AFB"/>
    <w:rsid w:val="00E2188B"/>
    <w:rsid w:val="00E21B36"/>
    <w:rsid w:val="00E2223F"/>
    <w:rsid w:val="00E23270"/>
    <w:rsid w:val="00E23277"/>
    <w:rsid w:val="00E24E2F"/>
    <w:rsid w:val="00E24EF6"/>
    <w:rsid w:val="00E25621"/>
    <w:rsid w:val="00E3124C"/>
    <w:rsid w:val="00E3231D"/>
    <w:rsid w:val="00E32562"/>
    <w:rsid w:val="00E32CC1"/>
    <w:rsid w:val="00E33683"/>
    <w:rsid w:val="00E3440E"/>
    <w:rsid w:val="00E35702"/>
    <w:rsid w:val="00E35B17"/>
    <w:rsid w:val="00E35BBB"/>
    <w:rsid w:val="00E360F4"/>
    <w:rsid w:val="00E36816"/>
    <w:rsid w:val="00E3700B"/>
    <w:rsid w:val="00E37196"/>
    <w:rsid w:val="00E37339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26A"/>
    <w:rsid w:val="00E45C95"/>
    <w:rsid w:val="00E46E2F"/>
    <w:rsid w:val="00E47396"/>
    <w:rsid w:val="00E47F6A"/>
    <w:rsid w:val="00E50644"/>
    <w:rsid w:val="00E50BF8"/>
    <w:rsid w:val="00E50ED8"/>
    <w:rsid w:val="00E54EAA"/>
    <w:rsid w:val="00E55DE4"/>
    <w:rsid w:val="00E56254"/>
    <w:rsid w:val="00E56270"/>
    <w:rsid w:val="00E56DCE"/>
    <w:rsid w:val="00E5717B"/>
    <w:rsid w:val="00E57810"/>
    <w:rsid w:val="00E60B3F"/>
    <w:rsid w:val="00E6141D"/>
    <w:rsid w:val="00E61F21"/>
    <w:rsid w:val="00E623B1"/>
    <w:rsid w:val="00E62932"/>
    <w:rsid w:val="00E62BDC"/>
    <w:rsid w:val="00E6347B"/>
    <w:rsid w:val="00E646A7"/>
    <w:rsid w:val="00E64D63"/>
    <w:rsid w:val="00E64DCA"/>
    <w:rsid w:val="00E65153"/>
    <w:rsid w:val="00E656B6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662"/>
    <w:rsid w:val="00E766DA"/>
    <w:rsid w:val="00E76AEE"/>
    <w:rsid w:val="00E76D74"/>
    <w:rsid w:val="00E77749"/>
    <w:rsid w:val="00E813DD"/>
    <w:rsid w:val="00E83132"/>
    <w:rsid w:val="00E83325"/>
    <w:rsid w:val="00E836B9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AEC"/>
    <w:rsid w:val="00EA7B44"/>
    <w:rsid w:val="00EB03EB"/>
    <w:rsid w:val="00EB0DB3"/>
    <w:rsid w:val="00EB13F3"/>
    <w:rsid w:val="00EB1EB3"/>
    <w:rsid w:val="00EB3B36"/>
    <w:rsid w:val="00EB463C"/>
    <w:rsid w:val="00EB4894"/>
    <w:rsid w:val="00EB4A48"/>
    <w:rsid w:val="00EB4E20"/>
    <w:rsid w:val="00EB4FA2"/>
    <w:rsid w:val="00EB5B83"/>
    <w:rsid w:val="00EB70D5"/>
    <w:rsid w:val="00EB744D"/>
    <w:rsid w:val="00EC070C"/>
    <w:rsid w:val="00EC0781"/>
    <w:rsid w:val="00EC0CD7"/>
    <w:rsid w:val="00EC27D7"/>
    <w:rsid w:val="00EC286E"/>
    <w:rsid w:val="00EC2C1E"/>
    <w:rsid w:val="00EC2F5A"/>
    <w:rsid w:val="00EC34F0"/>
    <w:rsid w:val="00EC3BF3"/>
    <w:rsid w:val="00EC3C40"/>
    <w:rsid w:val="00EC586F"/>
    <w:rsid w:val="00EC6910"/>
    <w:rsid w:val="00EC6D65"/>
    <w:rsid w:val="00EC7027"/>
    <w:rsid w:val="00EC79C1"/>
    <w:rsid w:val="00EC7FF0"/>
    <w:rsid w:val="00ED0725"/>
    <w:rsid w:val="00ED07F6"/>
    <w:rsid w:val="00ED09F2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F8"/>
    <w:rsid w:val="00F11DC8"/>
    <w:rsid w:val="00F12637"/>
    <w:rsid w:val="00F12BB1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E4C"/>
    <w:rsid w:val="00F26267"/>
    <w:rsid w:val="00F26456"/>
    <w:rsid w:val="00F264C1"/>
    <w:rsid w:val="00F26667"/>
    <w:rsid w:val="00F26F0F"/>
    <w:rsid w:val="00F27802"/>
    <w:rsid w:val="00F312AB"/>
    <w:rsid w:val="00F31C3D"/>
    <w:rsid w:val="00F31E2F"/>
    <w:rsid w:val="00F32365"/>
    <w:rsid w:val="00F32846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3C0"/>
    <w:rsid w:val="00F57806"/>
    <w:rsid w:val="00F578B5"/>
    <w:rsid w:val="00F6062A"/>
    <w:rsid w:val="00F621ED"/>
    <w:rsid w:val="00F62D23"/>
    <w:rsid w:val="00F64522"/>
    <w:rsid w:val="00F64C65"/>
    <w:rsid w:val="00F653E4"/>
    <w:rsid w:val="00F65946"/>
    <w:rsid w:val="00F66051"/>
    <w:rsid w:val="00F662D9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807DC"/>
    <w:rsid w:val="00F80E29"/>
    <w:rsid w:val="00F81220"/>
    <w:rsid w:val="00F83D87"/>
    <w:rsid w:val="00F83ECF"/>
    <w:rsid w:val="00F84D5B"/>
    <w:rsid w:val="00F86A7D"/>
    <w:rsid w:val="00F874E7"/>
    <w:rsid w:val="00F876DA"/>
    <w:rsid w:val="00F87A3D"/>
    <w:rsid w:val="00F9013F"/>
    <w:rsid w:val="00F91552"/>
    <w:rsid w:val="00F9160D"/>
    <w:rsid w:val="00F9302D"/>
    <w:rsid w:val="00F931C9"/>
    <w:rsid w:val="00F935BB"/>
    <w:rsid w:val="00F946B5"/>
    <w:rsid w:val="00F94BEE"/>
    <w:rsid w:val="00F95449"/>
    <w:rsid w:val="00F971E8"/>
    <w:rsid w:val="00FA09AE"/>
    <w:rsid w:val="00FA0CD1"/>
    <w:rsid w:val="00FA0EE9"/>
    <w:rsid w:val="00FA175A"/>
    <w:rsid w:val="00FA2454"/>
    <w:rsid w:val="00FA361D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CF"/>
    <w:rsid w:val="00FC154C"/>
    <w:rsid w:val="00FC1CD6"/>
    <w:rsid w:val="00FC4001"/>
    <w:rsid w:val="00FC4016"/>
    <w:rsid w:val="00FC4199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E80"/>
    <w:rsid w:val="00FF4A35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2D3D767"/>
  <w15:docId w15:val="{E89FCCC6-8E91-4B88-AF5B-56738B8CE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359E0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359E0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359E0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8359E0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8359E0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8359E0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359E0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359E0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359E0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359E0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8359E0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8359E0"/>
  </w:style>
  <w:style w:type="character" w:customStyle="1" w:styleId="Colofonversie">
    <w:name w:val="Colofon versie"/>
    <w:basedOn w:val="Standaardalinea-lettertype"/>
    <w:uiPriority w:val="1"/>
    <w:rsid w:val="008359E0"/>
  </w:style>
  <w:style w:type="paragraph" w:customStyle="1" w:styleId="Kop1voorwerk">
    <w:name w:val="Kop 1 voorwerk"/>
    <w:basedOn w:val="Standaard"/>
    <w:rsid w:val="008359E0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359E0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8359E0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359E0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359E0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359E0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359E0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359E0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359E0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359E0"/>
    <w:rPr>
      <w:szCs w:val="20"/>
    </w:rPr>
  </w:style>
  <w:style w:type="paragraph" w:styleId="Onderwerpvanopmerking">
    <w:name w:val="annotation subject"/>
    <w:basedOn w:val="Standaard"/>
    <w:semiHidden/>
    <w:unhideWhenUsed/>
    <w:rsid w:val="008359E0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359E0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359E0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359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359E0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359E0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359E0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359E0"/>
  </w:style>
  <w:style w:type="paragraph" w:customStyle="1" w:styleId="Colofon">
    <w:name w:val="Colofon"/>
    <w:basedOn w:val="Standaard"/>
    <w:rsid w:val="008359E0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359E0"/>
  </w:style>
  <w:style w:type="character" w:customStyle="1" w:styleId="Colofonprojectnummer">
    <w:name w:val="Colofon projectnummer"/>
    <w:basedOn w:val="Standaardalinea-lettertype"/>
    <w:uiPriority w:val="1"/>
    <w:rsid w:val="008359E0"/>
  </w:style>
  <w:style w:type="character" w:customStyle="1" w:styleId="Colofoncontactpersoon">
    <w:name w:val="Colofon contactpersoon"/>
    <w:basedOn w:val="Standaardalinea-lettertype"/>
    <w:uiPriority w:val="1"/>
    <w:rsid w:val="008359E0"/>
  </w:style>
  <w:style w:type="character" w:customStyle="1" w:styleId="Colofonauteur">
    <w:name w:val="Colofon auteur"/>
    <w:basedOn w:val="Standaardalinea-lettertype"/>
    <w:uiPriority w:val="1"/>
    <w:rsid w:val="008359E0"/>
  </w:style>
  <w:style w:type="paragraph" w:customStyle="1" w:styleId="Versiehistorietekst">
    <w:name w:val="Versiehistorie tekst"/>
    <w:basedOn w:val="Standaard"/>
    <w:rsid w:val="008359E0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359E0"/>
    <w:pPr>
      <w:keepNext/>
      <w:pageBreakBefore/>
      <w:numPr>
        <w:ilvl w:val="6"/>
        <w:numId w:val="3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359E0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359E0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359E0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359E0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359E0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359E0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359E0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359E0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359E0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359E0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359E0"/>
    <w:pPr>
      <w:keepNext/>
      <w:numPr>
        <w:numId w:val="11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359E0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8359E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359E0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359E0"/>
  </w:style>
  <w:style w:type="numbering" w:styleId="1ai">
    <w:name w:val="Outline List 1"/>
    <w:basedOn w:val="Geenlijst"/>
    <w:semiHidden/>
    <w:unhideWhenUsed/>
    <w:rsid w:val="008359E0"/>
  </w:style>
  <w:style w:type="table" w:styleId="3D-effectenvoortabel1">
    <w:name w:val="Table 3D effects 1"/>
    <w:basedOn w:val="Standaardtabel"/>
    <w:semiHidden/>
    <w:unhideWhenUsed/>
    <w:rsid w:val="008359E0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359E0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359E0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8359E0"/>
  </w:style>
  <w:style w:type="paragraph" w:styleId="Adresenvelop">
    <w:name w:val="envelope address"/>
    <w:basedOn w:val="Standaard"/>
    <w:semiHidden/>
    <w:unhideWhenUsed/>
    <w:rsid w:val="008359E0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8359E0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359E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359E0"/>
  </w:style>
  <w:style w:type="paragraph" w:styleId="Berichtkop">
    <w:name w:val="Message Header"/>
    <w:basedOn w:val="Standaard"/>
    <w:semiHidden/>
    <w:unhideWhenUsed/>
    <w:rsid w:val="008359E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359E0"/>
  </w:style>
  <w:style w:type="paragraph" w:styleId="Bloktekst">
    <w:name w:val="Block Text"/>
    <w:basedOn w:val="Standaard"/>
    <w:semiHidden/>
    <w:unhideWhenUsed/>
    <w:rsid w:val="008359E0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359E0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8359E0"/>
  </w:style>
  <w:style w:type="paragraph" w:styleId="Documentstructuur">
    <w:name w:val="Document Map"/>
    <w:basedOn w:val="Standaard"/>
    <w:semiHidden/>
    <w:unhideWhenUsed/>
    <w:rsid w:val="008359E0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359E0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359E0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359E0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8359E0"/>
    <w:pPr>
      <w:spacing w:line="240" w:lineRule="auto"/>
    </w:pPr>
  </w:style>
  <w:style w:type="table" w:styleId="Gemiddeldraster1">
    <w:name w:val="Medium Grid 1"/>
    <w:basedOn w:val="Standaardtabel"/>
    <w:uiPriority w:val="99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359E0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359E0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359E0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359E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359E0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359E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359E0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8359E0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8359E0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359E0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359E0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359E0"/>
  </w:style>
  <w:style w:type="paragraph" w:styleId="HTML-adres">
    <w:name w:val="HTML Address"/>
    <w:basedOn w:val="Standaard"/>
    <w:semiHidden/>
    <w:unhideWhenUsed/>
    <w:rsid w:val="008359E0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359E0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359E0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359E0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359E0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359E0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359E0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359E0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359E0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359E0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359E0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359E0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359E0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359E0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359E0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359E0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359E0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359E0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359E0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359E0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359E0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359E0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359E0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359E0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359E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359E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359E0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359E0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359E0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359E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359E0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359E0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359E0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359E0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359E0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359E0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359E0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359E0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359E0"/>
  </w:style>
  <w:style w:type="paragraph" w:styleId="Lijstopsomteken">
    <w:name w:val="List Bullet"/>
    <w:basedOn w:val="Standaard"/>
    <w:semiHidden/>
    <w:unhideWhenUsed/>
    <w:rsid w:val="008359E0"/>
    <w:pPr>
      <w:numPr>
        <w:numId w:val="10"/>
      </w:numPr>
      <w:contextualSpacing/>
    </w:pPr>
  </w:style>
  <w:style w:type="paragraph" w:styleId="Lijstopsomteken2">
    <w:name w:val="List Bullet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359E0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359E0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359E0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359E0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359E0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359E0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359E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359E0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8359E0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359E0"/>
  </w:style>
  <w:style w:type="paragraph" w:styleId="Plattetekst">
    <w:name w:val="Body Text"/>
    <w:basedOn w:val="Standaard"/>
    <w:semiHidden/>
    <w:unhideWhenUsed/>
    <w:rsid w:val="008359E0"/>
    <w:pPr>
      <w:spacing w:after="120"/>
    </w:pPr>
  </w:style>
  <w:style w:type="paragraph" w:styleId="Plattetekst2">
    <w:name w:val="Body Text 2"/>
    <w:basedOn w:val="Standaard"/>
    <w:semiHidden/>
    <w:unhideWhenUsed/>
    <w:rsid w:val="008359E0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8359E0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8359E0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8359E0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8359E0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8359E0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8359E0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359E0"/>
  </w:style>
  <w:style w:type="paragraph" w:styleId="Standaardinspringing">
    <w:name w:val="Normal Indent"/>
    <w:basedOn w:val="Standaard"/>
    <w:semiHidden/>
    <w:unhideWhenUsed/>
    <w:rsid w:val="008359E0"/>
    <w:pPr>
      <w:ind w:left="708"/>
    </w:pPr>
  </w:style>
  <w:style w:type="table" w:styleId="Tabelkolommen1">
    <w:name w:val="Table Columns 1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359E0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359E0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359E0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359E0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359E0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359E0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359E0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359E0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359E0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359E0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359E0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8359E0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359E0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359E0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359E0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359E0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359E0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359E0"/>
    <w:pPr>
      <w:numPr>
        <w:numId w:val="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359E0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359E0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8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8359E0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359E0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359E0"/>
    <w:rPr>
      <w:u w:val="single"/>
    </w:rPr>
  </w:style>
  <w:style w:type="paragraph" w:customStyle="1" w:styleId="Kader">
    <w:name w:val="Kader"/>
    <w:basedOn w:val="Standaard"/>
    <w:next w:val="Standaard"/>
    <w:qFormat/>
    <w:rsid w:val="008359E0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7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73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B380848B-4033-40EA-94BD-3019C8F1FF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14</TotalTime>
  <Pages>169</Pages>
  <Words>69325</Words>
  <Characters>381291</Characters>
  <Application>Microsoft Office Word</Application>
  <DocSecurity>0</DocSecurity>
  <Lines>3177</Lines>
  <Paragraphs>899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TPOD sjabloon v0.98</vt:lpstr>
    </vt:vector>
  </TitlesOfParts>
  <Company/>
  <LinksUpToDate>false</LinksUpToDate>
  <CharactersWithSpaces>449717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cp:lastModifiedBy>Gerard Wolbers</cp:lastModifiedBy>
  <cp:revision>9</cp:revision>
  <cp:lastPrinted>2019-09-05T11:08:00Z</cp:lastPrinted>
  <dcterms:created xsi:type="dcterms:W3CDTF">2021-06-02T14:00:00Z</dcterms:created>
  <dcterms:modified xsi:type="dcterms:W3CDTF">2021-06-03T13:00:00Z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