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5E7E" w14:textId="5A1AA8F6" w:rsidR="00290BB7" w:rsidRDefault="00290BB7" w:rsidP="00644708">
      <w:pPr>
        <w:pStyle w:val="Kop4"/>
      </w:pPr>
      <w:r>
        <w:lastRenderedPageBreak/>
        <w:t>Norm</w:t>
      </w:r>
    </w:p>
    <w:p w14:paraId="6334C922" w14:textId="51113723" w:rsidR="00DF1822" w:rsidRDefault="00DF1822" w:rsidP="00DF1822">
      <w:r>
        <w:t xml:space="preserve">Wanneer er in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 meet- en rekenbepalingen voorkomen gelden daarvoor de volgende regels:</w:t>
      </w:r>
    </w:p>
    <w:p w14:paraId="413A50CB" w14:textId="65C46A2D" w:rsidR="00290BB7" w:rsidRDefault="00DF1822" w:rsidP="00DF1822">
      <w:pPr>
        <w:pStyle w:val="Opsommingtekens1"/>
      </w:pPr>
      <w:r>
        <w:t>meet- en rekenbepalingen kunnen overal in de regeltekst worden geplaatst</w:t>
      </w:r>
      <w:r w:rsidR="00E67C4F">
        <w:t>.</w:t>
      </w:r>
    </w:p>
    <w:p w14:paraId="5A90EFCD" w14:textId="44FFA94C" w:rsidR="00DF1822" w:rsidRDefault="00DF1822" w:rsidP="00E67C4F"/>
    <w:p w14:paraId="1F0E950A" w14:textId="7F890B2D" w:rsidR="00E67C4F" w:rsidRDefault="00E67C4F" w:rsidP="00E67C4F">
      <w:r w:rsidRPr="00E67C4F">
        <w:t>Om machineleesbaar te maken dat iets een meet- of rekenbepaling is, wordt gebruik gemaakt van de STOP-systematiek Begrippenlijst: een specifieke vorm van een Lijst die gericht is op het coderen van een lijst met 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