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66110" w14:textId="2202B79E" w:rsidR="00E33EDD" w:rsidRPr="00B26823" w:rsidRDefault="00E33EDD" w:rsidP="00E33EDD">
      <w:pPr>
        <w:pStyle w:val="Kop3"/>
      </w:pPr>
      <w:bookmarkStart w:id="76" w:name="_Ref_54a8fdeaa95d2fa671ac83769a209825_1"/>
      <w:r w:rsidRPr="00A22075">
        <w:t xml:space="preserve">Algemene kenmerken </w:t>
      </w:r>
      <w:r w:rsidRPr="00A22075">
        <w:fldChar w:fldCharType="begin"/>
      </w:r>
      <w:r w:rsidRPr="00A22075">
        <w:instrText xml:space="preserve"> </w:instrText>
      </w:r>
      <w:r w:rsidR="00927E81" w:rsidRPr="00A22075">
        <w:instrText>DOCVARIABLE ID01</w:instrText>
      </w:r>
      <w:r w:rsidRPr="00A22075">
        <w:instrText xml:space="preserve"> </w:instrText>
      </w:r>
      <w:r w:rsidRPr="00A22075">
        <w:fldChar w:fldCharType="separate"/>
      </w:r>
      <w:r w:rsidR="00D90108">
        <w:t>basistekst</w:t>
      </w:r>
      <w:r w:rsidRPr="00A22075">
        <w:fldChar w:fldCharType="end"/>
      </w:r>
      <w:bookmarkEnd w:id="76"/>
    </w:p>
    <w:p w14:paraId="15C66DA9" w14:textId="3A01B96D" w:rsidR="00E33EDD" w:rsidRPr="00A22075" w:rsidRDefault="00E33EDD" w:rsidP="00E33EDD">
      <w:r w:rsidRPr="00A22075">
        <w:t xml:space="preserve">In </w:t>
      </w:r>
      <w:r w:rsidRPr="00EF065D">
        <w:rPr>
          <w:rStyle w:val="Verwijzing"/>
        </w:rPr>
        <w:fldChar w:fldCharType="begin"/>
      </w:r>
      <w:r w:rsidRPr="00EF065D">
        <w:rPr>
          <w:rStyle w:val="Verwijzing"/>
        </w:rPr>
        <w:instrText xml:space="preserve"> REF _Ref_54a8fdeaa95d2fa671ac83769a209825_2 \n \h </w:instrText>
      </w:r>
      <w:r w:rsidR="005258D5" w:rsidRPr="00EF065D">
        <w:rPr>
          <w:rStyle w:val="Verwijzing"/>
        </w:rPr>
        <w:instrText xml:space="preserve"> \* MERGEFORMAT </w:instrText>
      </w:r>
      <w:r w:rsidRPr="00EF065D">
        <w:rPr>
          <w:rStyle w:val="Verwijzing"/>
        </w:rPr>
      </w:r>
      <w:r w:rsidRPr="00EF065D">
        <w:rPr>
          <w:rStyle w:val="Verwijzing"/>
        </w:rPr>
        <w:fldChar w:fldCharType="separate"/>
      </w:r>
      <w:r w:rsidR="00D90108" w:rsidRPr="00EF065D">
        <w:rPr>
          <w:rStyle w:val="Verwijzing"/>
        </w:rPr>
        <w:t>Tabel 1</w:t>
      </w:r>
      <w:r w:rsidRPr="00EF065D">
        <w:rPr>
          <w:rStyle w:val="Verwijzing"/>
        </w:rPr>
        <w:fldChar w:fldCharType="end"/>
      </w:r>
      <w:r w:rsidRPr="00B26823">
        <w:t xml:space="preserve"> tot en met </w:t>
      </w:r>
      <w:r w:rsidRPr="00EF065D">
        <w:rPr>
          <w:rStyle w:val="Verwijzing"/>
        </w:rPr>
        <w:fldChar w:fldCharType="begin"/>
      </w:r>
      <w:r w:rsidRPr="00EF065D">
        <w:rPr>
          <w:rStyle w:val="Verwijzing"/>
        </w:rPr>
        <w:instrText xml:space="preserve"> REF _Ref_54a8fdeaa95d2fa671ac83769a209825_3 \n \h </w:instrText>
      </w:r>
      <w:r w:rsidR="005258D5" w:rsidRPr="00EF065D">
        <w:rPr>
          <w:rStyle w:val="Verwijzing"/>
        </w:rPr>
        <w:instrText xml:space="preserve"> \* MERGEFORMAT </w:instrText>
      </w:r>
      <w:r w:rsidRPr="00EF065D">
        <w:rPr>
          <w:rStyle w:val="Verwijzing"/>
        </w:rPr>
      </w:r>
      <w:r w:rsidRPr="00EF065D">
        <w:rPr>
          <w:rStyle w:val="Verwijzing"/>
        </w:rPr>
        <w:fldChar w:fldCharType="separate"/>
      </w:r>
      <w:r w:rsidR="00D90108" w:rsidRPr="00EF065D">
        <w:rPr>
          <w:rStyle w:val="Verwijzing"/>
        </w:rPr>
        <w:t>Tabel 3</w:t>
      </w:r>
      <w:r w:rsidRPr="00EF065D">
        <w:rPr>
          <w:rStyle w:val="Verwijzing"/>
        </w:rPr>
        <w:fldChar w:fldCharType="end"/>
      </w:r>
      <w:r w:rsidRPr="00B26823">
        <w:t xml:space="preserve"> zijn de algemene kenmerken van </w:t>
      </w:r>
      <w:r w:rsidRPr="00A22075">
        <w:fldChar w:fldCharType="begin"/>
      </w:r>
      <w:r w:rsidRPr="00A22075">
        <w:rPr>
          <w:noProof/>
        </w:rPr>
        <w:instrText xml:space="preserve"> DOCVARIABLE ID01+ </w:instrText>
      </w:r>
      <w:r w:rsidRPr="00A22075">
        <w:rPr>
          <w:noProof/>
        </w:rPr>
        <w:fldChar w:fldCharType="separate"/>
      </w:r>
      <w:r w:rsidR="00D90108">
        <w:rPr>
          <w:noProof/>
        </w:rPr>
        <w:t>de basistekst</w:t>
      </w:r>
      <w:r w:rsidRPr="00A22075">
        <w:fldChar w:fldCharType="end"/>
      </w:r>
      <w:r w:rsidRPr="00B26823">
        <w:t xml:space="preserve"> opgenomen. Deze kenmerken leggen de algemene eigenschappen vast, waarmee informatie over </w:t>
      </w:r>
      <w:r w:rsidRPr="00A22075">
        <w:fldChar w:fldCharType="begin"/>
      </w:r>
      <w:r w:rsidRPr="00A22075">
        <w:rPr>
          <w:noProof/>
        </w:rPr>
        <w:instrText xml:space="preserve"> DOCVARIABLE ID01+ </w:instrText>
      </w:r>
      <w:r w:rsidRPr="00A22075">
        <w:rPr>
          <w:noProof/>
        </w:rPr>
        <w:fldChar w:fldCharType="separate"/>
      </w:r>
      <w:r w:rsidR="00D90108">
        <w:rPr>
          <w:noProof/>
        </w:rPr>
        <w:t>de basistekst</w:t>
      </w:r>
      <w:r w:rsidRPr="00A22075">
        <w:fldChar w:fldCharType="end"/>
      </w:r>
      <w:r w:rsidRPr="00B26823">
        <w:t xml:space="preserve"> wordt bijgehouden. Doel van deze tabellen is het weergeven van de meest essentiële algemene kenmerken van het instrument zodat de lezer het beter kan plaatsen en vergelijken met bestaande instrumenten</w:t>
      </w:r>
      <w:r w:rsidR="00435B89" w:rsidRPr="00A22075">
        <w:t>,</w:t>
      </w:r>
      <w:r w:rsidR="002D6DC4" w:rsidRPr="00A22075">
        <w:t xml:space="preserve"> </w:t>
      </w:r>
      <w:r w:rsidR="00435B89" w:rsidRPr="00A22075">
        <w:t>n</w:t>
      </w:r>
      <w:r w:rsidRPr="00A22075">
        <w:t>iet om een volledig sluitende beschrijving te geven.</w:t>
      </w:r>
      <w:r w:rsidR="002373B4" w:rsidRPr="00A22075">
        <w:t xml:space="preserve"> De in de tabellen aangehaalde artikelen zijn afkomstig uit de Omgevingswet (verder: Ow), tenzij anders vermeld.</w:t>
      </w:r>
    </w:p>
    <w:p w14:paraId="7869A231" w14:textId="77777777" w:rsidR="00E33EDD" w:rsidRPr="00A22075" w:rsidRDefault="00E33EDD" w:rsidP="00E33EDD">
      <w:pPr>
        <w:pStyle w:val="Tabeltitel"/>
      </w:pPr>
      <w:bookmarkStart w:id="78" w:name="_Ref_54a8fdeaa95d2fa671ac83769a209825_2"/>
      <w:r w:rsidRPr="00A22075">
        <w:lastRenderedPageBreak/>
        <w:t>Juridische kenmerken</w:t>
      </w:r>
      <w:bookmarkEnd w:id="78"/>
    </w:p>
    <w:tbl>
      <w:tblPr>
        <w:tblStyle w:val="Tabel"/>
        <w:tblW w:w="5000" w:type="pct"/>
        <w:tblLayout w:type="fixed"/>
        <w:tblLook w:val="0620" w:firstRow="1" w:lastRow="0" w:firstColumn="0" w:lastColumn="0" w:noHBand="1" w:noVBand="1"/>
      </w:tblPr>
      <w:tblGrid>
        <w:gridCol w:w="2973"/>
        <w:gridCol w:w="5521"/>
      </w:tblGrid>
      <w:tr w:rsidR="00980F2B" w:rsidRPr="00A22075" w14:paraId="5431291C" w14:textId="77777777" w:rsidTr="009F5482">
        <w:trPr>
          <w:cnfStyle w:val="100000000000" w:firstRow="1" w:lastRow="0" w:firstColumn="0" w:lastColumn="0" w:oddVBand="0" w:evenVBand="0" w:oddHBand="0" w:evenHBand="0" w:firstRowFirstColumn="0" w:firstRowLastColumn="0" w:lastRowFirstColumn="0" w:lastRowLastColumn="0"/>
          <w:tblHeader/>
        </w:trPr>
        <w:tc>
          <w:tcPr>
            <w:tcW w:w="1750" w:type="pct"/>
          </w:tcPr>
          <w:p w14:paraId="07801BAE" w14:textId="77777777" w:rsidR="00980F2B" w:rsidRPr="00A22075" w:rsidRDefault="00980F2B" w:rsidP="009F5482">
            <w:r w:rsidRPr="00A22075">
              <w:t>Onderwerp</w:t>
            </w:r>
          </w:p>
        </w:tc>
        <w:tc>
          <w:tcPr>
            <w:tcW w:w="3250" w:type="pct"/>
          </w:tcPr>
          <w:p w14:paraId="58B288A6" w14:textId="77777777" w:rsidR="00980F2B" w:rsidRPr="00A22075" w:rsidRDefault="00980F2B" w:rsidP="009F5482">
            <w:r w:rsidRPr="00A22075">
              <w:t>Specificatie</w:t>
            </w:r>
          </w:p>
        </w:tc>
      </w:tr>
      <w:tr w:rsidR="00980F2B" w:rsidRPr="00A22075" w14:paraId="7107F154" w14:textId="77777777" w:rsidTr="009F5482">
        <w:tc>
          <w:tcPr>
            <w:tcW w:w="1750" w:type="pct"/>
          </w:tcPr>
          <w:p w14:paraId="7D030B15" w14:textId="77777777" w:rsidR="00980F2B" w:rsidRPr="00A22075" w:rsidRDefault="00980F2B" w:rsidP="009F5482">
            <w:pPr>
              <w:rPr>
                <w:color w:val="000000" w:themeColor="text1"/>
              </w:rPr>
            </w:pPr>
            <w:r w:rsidRPr="00A22075">
              <w:rPr>
                <w:color w:val="000000" w:themeColor="text1"/>
              </w:rPr>
              <w:t>Grondslag rechtsfiguur</w:t>
            </w:r>
          </w:p>
        </w:tc>
        <w:tc>
          <w:tcPr>
            <w:tcW w:w="3250" w:type="pct"/>
          </w:tcPr>
          <w:p w14:paraId="78CD24C1" w14:textId="37E4E008" w:rsidR="00980F2B" w:rsidRPr="00A22075" w:rsidRDefault="00980F2B" w:rsidP="009F5482">
            <w:pPr>
              <w:rPr>
                <w:color w:val="000000" w:themeColor="text1"/>
                <w:szCs w:val="18"/>
              </w:rPr>
            </w:pPr>
            <w:r w:rsidRPr="00A22075">
              <w:rPr>
                <w:color w:val="000000" w:themeColor="text1"/>
                <w:szCs w:val="18"/>
              </w:rPr>
              <w:t>Artikel 2.4 O</w:t>
            </w:r>
            <w:r w:rsidR="00602746" w:rsidRPr="00A22075">
              <w:rPr>
                <w:color w:val="000000" w:themeColor="text1"/>
                <w:szCs w:val="18"/>
              </w:rPr>
              <w:t>w</w:t>
            </w:r>
          </w:p>
        </w:tc>
      </w:tr>
      <w:tr w:rsidR="00980F2B" w:rsidRPr="00A22075" w14:paraId="24169E47" w14:textId="77777777" w:rsidTr="009F5482">
        <w:tc>
          <w:tcPr>
            <w:tcW w:w="1750" w:type="pct"/>
          </w:tcPr>
          <w:p w14:paraId="58C20F09" w14:textId="77777777" w:rsidR="00980F2B" w:rsidRPr="00A22075" w:rsidRDefault="00980F2B" w:rsidP="009F5482">
            <w:pPr>
              <w:rPr>
                <w:color w:val="000000" w:themeColor="text1"/>
              </w:rPr>
            </w:pPr>
            <w:r w:rsidRPr="00A22075">
              <w:rPr>
                <w:color w:val="000000" w:themeColor="text1"/>
              </w:rPr>
              <w:t>Voorbereidingsprocedure</w:t>
            </w:r>
          </w:p>
        </w:tc>
        <w:tc>
          <w:tcPr>
            <w:tcW w:w="3250" w:type="pct"/>
          </w:tcPr>
          <w:p w14:paraId="27C7BF49" w14:textId="77777777" w:rsidR="00980F2B" w:rsidRPr="00A22075" w:rsidRDefault="00980F2B" w:rsidP="009F5482">
            <w:r w:rsidRPr="00A22075">
              <w:t>Verplichtingen:</w:t>
            </w:r>
          </w:p>
          <w:p w14:paraId="35022664" w14:textId="77777777" w:rsidR="00980F2B" w:rsidRPr="00A22075" w:rsidRDefault="00980F2B" w:rsidP="009F5482">
            <w:pPr>
              <w:pStyle w:val="Opsommingtekens1"/>
            </w:pPr>
            <w:r w:rsidRPr="00A22075">
              <w:t>kennisgeving van voornemen omgevingsplan vast te stellen (art. 16.29 Ow)</w:t>
            </w:r>
          </w:p>
          <w:p w14:paraId="2E87A01F" w14:textId="77777777" w:rsidR="00980F2B" w:rsidRPr="00A22075" w:rsidRDefault="00980F2B" w:rsidP="009F5482">
            <w:pPr>
              <w:pStyle w:val="Opsommingtekens1"/>
            </w:pPr>
            <w:r w:rsidRPr="00A22075">
              <w:t>toepassen afdeling 3.4 Awb (art. 16.30 Ow)</w:t>
            </w:r>
          </w:p>
        </w:tc>
      </w:tr>
      <w:tr w:rsidR="00980F2B" w:rsidRPr="00A22075" w14:paraId="4837D262" w14:textId="77777777" w:rsidTr="009F5482">
        <w:tc>
          <w:tcPr>
            <w:tcW w:w="1750" w:type="pct"/>
          </w:tcPr>
          <w:p w14:paraId="12C2DB8B" w14:textId="77777777" w:rsidR="00980F2B" w:rsidRPr="00A22075" w:rsidRDefault="00980F2B" w:rsidP="009F5482">
            <w:r w:rsidRPr="00A22075">
              <w:t>Tijdstip bekendmaking/</w:t>
            </w:r>
          </w:p>
          <w:p w14:paraId="586D1D7D" w14:textId="77777777" w:rsidR="00980F2B" w:rsidRPr="00A22075" w:rsidRDefault="00980F2B" w:rsidP="009F5482">
            <w:pPr>
              <w:rPr>
                <w:color w:val="000000" w:themeColor="text1"/>
              </w:rPr>
            </w:pPr>
            <w:r w:rsidRPr="00A22075">
              <w:rPr>
                <w:color w:val="000000" w:themeColor="text1"/>
              </w:rPr>
              <w:t>terinzagelegging vastgesteld omgevingsplan</w:t>
            </w:r>
          </w:p>
        </w:tc>
        <w:tc>
          <w:tcPr>
            <w:tcW w:w="3250" w:type="pct"/>
          </w:tcPr>
          <w:p w14:paraId="6D1134E0" w14:textId="77777777" w:rsidR="00980F2B" w:rsidRPr="00A22075" w:rsidRDefault="00980F2B" w:rsidP="009F5482">
            <w:r w:rsidRPr="00A22075">
              <w:t>(art. 16.77b Ow) Bekendmaking niet eerder dan 2 weken na datum vaststelling, tenzij:</w:t>
            </w:r>
          </w:p>
          <w:p w14:paraId="482667DE" w14:textId="77777777" w:rsidR="00980F2B" w:rsidRPr="00A22075" w:rsidRDefault="00980F2B" w:rsidP="009F5482">
            <w:pPr>
              <w:pStyle w:val="Opsommingtekens1"/>
              <w:rPr>
                <w:rFonts w:eastAsia="Verdana" w:cs="Verdana"/>
              </w:rPr>
            </w:pPr>
            <w:r w:rsidRPr="00A22075">
              <w:t>GS geen zienswijze over ontwerp hebben ingebracht,</w:t>
            </w:r>
          </w:p>
          <w:p w14:paraId="046B781C" w14:textId="77777777" w:rsidR="00980F2B" w:rsidRPr="00A22075" w:rsidRDefault="00980F2B" w:rsidP="009F5482">
            <w:pPr>
              <w:pStyle w:val="Opsommingtekens1"/>
              <w:rPr>
                <w:rFonts w:eastAsia="Verdana" w:cs="Verdana"/>
              </w:rPr>
            </w:pPr>
            <w:r w:rsidRPr="00A22075">
              <w:t>t.o.v. ontwerp geen wijzigingen zijn aangebracht, of</w:t>
            </w:r>
          </w:p>
          <w:p w14:paraId="29EB7016" w14:textId="77777777" w:rsidR="00980F2B" w:rsidRPr="00A22075" w:rsidRDefault="00980F2B" w:rsidP="009F5482">
            <w:pPr>
              <w:pStyle w:val="Opsommingtekens1"/>
            </w:pPr>
            <w:r w:rsidRPr="00A22075">
              <w:t xml:space="preserve">GS hebben bepaald dat omgevingsplan eerder mag worden bekendgemaakt </w:t>
            </w:r>
          </w:p>
        </w:tc>
      </w:tr>
      <w:tr w:rsidR="00AE730B" w:rsidRPr="00A22075" w14:paraId="0BA06C1D" w14:textId="77777777" w:rsidTr="009F5482">
        <w:tc>
          <w:tcPr>
            <w:tcW w:w="1750" w:type="pct"/>
          </w:tcPr>
          <w:p w14:paraId="24F7FFAB" w14:textId="607CEFB4" w:rsidR="00AE730B" w:rsidRPr="00A22075" w:rsidRDefault="00AE730B" w:rsidP="009F5482">
            <w:r w:rsidRPr="00A22075">
              <w:t>Wijze van bekendmaking</w:t>
            </w:r>
          </w:p>
        </w:tc>
        <w:tc>
          <w:tcPr>
            <w:tcW w:w="3250" w:type="pct"/>
          </w:tcPr>
          <w:p w14:paraId="59181312" w14:textId="4B1E8631" w:rsidR="00AE730B" w:rsidRPr="00A22075" w:rsidRDefault="00291554" w:rsidP="009F5482">
            <w:pPr>
              <w:rPr>
                <w:szCs w:val="18"/>
              </w:rPr>
            </w:pPr>
            <w:r w:rsidRPr="00A22075">
              <w:rPr>
                <w:szCs w:val="18"/>
              </w:rPr>
              <w:t>Bekendmaking</w:t>
            </w:r>
            <w:r w:rsidR="00F63457" w:rsidRPr="00A22075">
              <w:rPr>
                <w:szCs w:val="18"/>
              </w:rPr>
              <w:t xml:space="preserve"> door plaatsing van het volledige besluit in het elektronisch publicatieblad van het bestuursorgaan dat </w:t>
            </w:r>
            <w:r w:rsidR="00285865" w:rsidRPr="00A22075">
              <w:rPr>
                <w:szCs w:val="18"/>
              </w:rPr>
              <w:t xml:space="preserve">het besluit </w:t>
            </w:r>
            <w:r w:rsidR="00F63457" w:rsidRPr="00A22075">
              <w:rPr>
                <w:szCs w:val="18"/>
              </w:rPr>
              <w:t>heeft ge</w:t>
            </w:r>
            <w:r w:rsidR="00285865" w:rsidRPr="00A22075">
              <w:rPr>
                <w:szCs w:val="18"/>
              </w:rPr>
              <w:t>nomen</w:t>
            </w:r>
          </w:p>
        </w:tc>
      </w:tr>
      <w:tr w:rsidR="00980F2B" w:rsidRPr="00A22075" w14:paraId="792BE19E" w14:textId="77777777" w:rsidTr="009F5482">
        <w:tc>
          <w:tcPr>
            <w:tcW w:w="1750" w:type="pct"/>
          </w:tcPr>
          <w:p w14:paraId="208EE401" w14:textId="62736720" w:rsidR="00980F2B" w:rsidRPr="00A22075" w:rsidRDefault="00AE730B" w:rsidP="009F5482">
            <w:r w:rsidRPr="00A22075">
              <w:t>Tijdstip i</w:t>
            </w:r>
            <w:r w:rsidR="00980F2B" w:rsidRPr="00A22075">
              <w:t>nwerkingtreding</w:t>
            </w:r>
          </w:p>
        </w:tc>
        <w:tc>
          <w:tcPr>
            <w:tcW w:w="3250" w:type="pct"/>
          </w:tcPr>
          <w:p w14:paraId="24CDAB25" w14:textId="77777777" w:rsidR="00980F2B" w:rsidRPr="00A22075" w:rsidRDefault="00980F2B" w:rsidP="009F5482">
            <w:pPr>
              <w:rPr>
                <w:szCs w:val="18"/>
              </w:rPr>
            </w:pPr>
            <w:r w:rsidRPr="00A22075">
              <w:rPr>
                <w:szCs w:val="18"/>
              </w:rPr>
              <w:t>Omgevingsplan treedt in werking 4 weken na dag van bekendmaking van het besluit, tenzij in omgevingsplan later tijdstip is bepaald (art. 16.78 Ow).</w:t>
            </w:r>
          </w:p>
          <w:p w14:paraId="012B6770" w14:textId="77777777" w:rsidR="00980F2B" w:rsidRPr="00B26823" w:rsidRDefault="00980F2B" w:rsidP="009F5482">
            <w:pPr>
              <w:rPr>
                <w:szCs w:val="18"/>
              </w:rPr>
            </w:pPr>
            <w:r w:rsidRPr="00A22075">
              <w:rPr>
                <w:szCs w:val="18"/>
              </w:rPr>
              <w:t>Aan regels omgevingsplan kan tijdelijke werking worden gegeven</w:t>
            </w:r>
            <w:r w:rsidRPr="00B26823">
              <w:rPr>
                <w:rStyle w:val="Voetnootmarkering"/>
                <w:szCs w:val="18"/>
              </w:rPr>
              <w:footnoteReference w:id="4"/>
            </w:r>
          </w:p>
        </w:tc>
      </w:tr>
      <w:tr w:rsidR="00980F2B" w:rsidRPr="00A22075" w14:paraId="0DEB0C81" w14:textId="77777777" w:rsidTr="009F5482">
        <w:tc>
          <w:tcPr>
            <w:tcW w:w="1750" w:type="pct"/>
          </w:tcPr>
          <w:p w14:paraId="237B5181" w14:textId="77777777" w:rsidR="00980F2B" w:rsidRPr="00A22075" w:rsidRDefault="00980F2B" w:rsidP="009F5482">
            <w:r w:rsidRPr="00A22075">
              <w:t>Rechtsbescherming</w:t>
            </w:r>
          </w:p>
        </w:tc>
        <w:tc>
          <w:tcPr>
            <w:tcW w:w="3250" w:type="pct"/>
          </w:tcPr>
          <w:p w14:paraId="4CF27E7B" w14:textId="77777777" w:rsidR="00980F2B" w:rsidRPr="00A22075" w:rsidRDefault="00980F2B" w:rsidP="009F5482">
            <w:pPr>
              <w:rPr>
                <w:szCs w:val="18"/>
              </w:rPr>
            </w:pPr>
            <w:r w:rsidRPr="00A22075">
              <w:rPr>
                <w:szCs w:val="18"/>
              </w:rPr>
              <w:t>Beroep bij Afdeling bestuursrechtspraak Raad van State</w:t>
            </w:r>
          </w:p>
        </w:tc>
      </w:tr>
      <w:tr w:rsidR="00980F2B" w:rsidRPr="00A22075" w14:paraId="2682BEBF" w14:textId="77777777" w:rsidTr="009F5482">
        <w:tc>
          <w:tcPr>
            <w:tcW w:w="1750" w:type="pct"/>
          </w:tcPr>
          <w:p w14:paraId="0D4B5FD9" w14:textId="77777777" w:rsidR="00980F2B" w:rsidRPr="00A22075" w:rsidRDefault="00980F2B" w:rsidP="009F5482">
            <w:r w:rsidRPr="00A22075">
              <w:t>Geldt toepassingsprofiel ook voor ontwerpbesluit</w:t>
            </w:r>
          </w:p>
        </w:tc>
        <w:tc>
          <w:tcPr>
            <w:tcW w:w="3250" w:type="pct"/>
          </w:tcPr>
          <w:p w14:paraId="1FA8B70A" w14:textId="77777777" w:rsidR="00980F2B" w:rsidRPr="00A22075" w:rsidRDefault="00980F2B" w:rsidP="009F5482">
            <w:pPr>
              <w:rPr>
                <w:szCs w:val="18"/>
              </w:rPr>
            </w:pPr>
            <w:r w:rsidRPr="00A22075">
              <w:rPr>
                <w:szCs w:val="18"/>
              </w:rPr>
              <w:t>Ja</w:t>
            </w:r>
          </w:p>
        </w:tc>
      </w:tr>
      <w:tr w:rsidR="00980F2B" w:rsidRPr="00A22075" w14:paraId="5C020F29" w14:textId="77777777" w:rsidTr="009F5482">
        <w:tc>
          <w:tcPr>
            <w:tcW w:w="1750" w:type="pct"/>
          </w:tcPr>
          <w:p w14:paraId="00DC5D23" w14:textId="004816C3" w:rsidR="00980F2B" w:rsidRPr="00A22075" w:rsidRDefault="00980F2B" w:rsidP="009F5482">
            <w:r w:rsidRPr="00A22075">
              <w:t xml:space="preserve">Rechtsfiguur roept meldingsplicht of vergunningplicht in het leven </w:t>
            </w:r>
          </w:p>
        </w:tc>
        <w:tc>
          <w:tcPr>
            <w:tcW w:w="3250" w:type="pct"/>
          </w:tcPr>
          <w:p w14:paraId="20EDC096" w14:textId="77777777" w:rsidR="00980F2B" w:rsidRPr="00A22075" w:rsidRDefault="00980F2B" w:rsidP="009F5482">
            <w:pPr>
              <w:rPr>
                <w:szCs w:val="18"/>
              </w:rPr>
            </w:pPr>
            <w:r w:rsidRPr="00A22075">
              <w:rPr>
                <w:szCs w:val="18"/>
              </w:rPr>
              <w:t>Ja (art. 4.4 Ow)</w:t>
            </w:r>
          </w:p>
        </w:tc>
      </w:tr>
      <w:tr w:rsidR="00980F2B" w:rsidRPr="00A22075" w14:paraId="3BD1596C" w14:textId="77777777" w:rsidTr="009F5482">
        <w:tc>
          <w:tcPr>
            <w:tcW w:w="1750" w:type="pct"/>
          </w:tcPr>
          <w:p w14:paraId="560C86FA" w14:textId="77777777" w:rsidR="00980F2B" w:rsidRPr="00A22075" w:rsidRDefault="00980F2B" w:rsidP="009F5482">
            <w:r w:rsidRPr="00A22075">
              <w:t>Rechtsfiguur bevat voor eenieder bindende regels</w:t>
            </w:r>
          </w:p>
        </w:tc>
        <w:tc>
          <w:tcPr>
            <w:tcW w:w="3250" w:type="pct"/>
          </w:tcPr>
          <w:p w14:paraId="39A2F658" w14:textId="77777777" w:rsidR="00980F2B" w:rsidRPr="00A22075" w:rsidRDefault="00980F2B" w:rsidP="009F5482">
            <w:pPr>
              <w:rPr>
                <w:szCs w:val="18"/>
              </w:rPr>
            </w:pPr>
            <w:r w:rsidRPr="00A22075">
              <w:rPr>
                <w:szCs w:val="18"/>
              </w:rPr>
              <w:t>Ja</w:t>
            </w:r>
          </w:p>
        </w:tc>
      </w:tr>
    </w:tbl>
    <w:p w14:paraId="69605AB3" w14:textId="77777777" w:rsidR="00E33EDD" w:rsidRPr="00A22075" w:rsidRDefault="00E33EDD" w:rsidP="00E33EDD">
      <w:pPr>
        <w:pStyle w:val="Tabeltitel"/>
      </w:pPr>
      <w:r w:rsidRPr="00A22075">
        <w:lastRenderedPageBreak/>
        <w:t>Kenmerken ten behoeve van metadata en annotaties</w:t>
      </w:r>
    </w:p>
    <w:tbl>
      <w:tblPr>
        <w:tblStyle w:val="Tabel"/>
        <w:tblW w:w="5000" w:type="pct"/>
        <w:tblLayout w:type="fixed"/>
        <w:tblLook w:val="0620" w:firstRow="1" w:lastRow="0" w:firstColumn="0" w:lastColumn="0" w:noHBand="1" w:noVBand="1"/>
      </w:tblPr>
      <w:tblGrid>
        <w:gridCol w:w="2973"/>
        <w:gridCol w:w="5521"/>
      </w:tblGrid>
      <w:tr w:rsidR="00980F2B" w:rsidRPr="00A22075" w14:paraId="07CCD0DA" w14:textId="77777777" w:rsidTr="009F5482">
        <w:trPr>
          <w:cnfStyle w:val="100000000000" w:firstRow="1" w:lastRow="0" w:firstColumn="0" w:lastColumn="0" w:oddVBand="0" w:evenVBand="0" w:oddHBand="0" w:evenHBand="0" w:firstRowFirstColumn="0" w:firstRowLastColumn="0" w:lastRowFirstColumn="0" w:lastRowLastColumn="0"/>
          <w:tblHeader/>
        </w:trPr>
        <w:tc>
          <w:tcPr>
            <w:tcW w:w="1750" w:type="pct"/>
          </w:tcPr>
          <w:p w14:paraId="30847665" w14:textId="77777777" w:rsidR="00980F2B" w:rsidRPr="00A22075" w:rsidRDefault="00980F2B" w:rsidP="009F5482">
            <w:r w:rsidRPr="00A22075">
              <w:t>Onderwerp</w:t>
            </w:r>
          </w:p>
        </w:tc>
        <w:tc>
          <w:tcPr>
            <w:tcW w:w="3250" w:type="pct"/>
          </w:tcPr>
          <w:p w14:paraId="64BED3B6" w14:textId="77777777" w:rsidR="00980F2B" w:rsidRPr="00A22075" w:rsidRDefault="00980F2B" w:rsidP="009F5482">
            <w:r w:rsidRPr="00A22075">
              <w:t>Specificatie</w:t>
            </w:r>
          </w:p>
        </w:tc>
      </w:tr>
      <w:tr w:rsidR="00980F2B" w:rsidRPr="00A22075" w14:paraId="61D9610F" w14:textId="77777777" w:rsidTr="009F5482">
        <w:tc>
          <w:tcPr>
            <w:tcW w:w="1750" w:type="pct"/>
          </w:tcPr>
          <w:p w14:paraId="5774E59B" w14:textId="77777777" w:rsidR="00980F2B" w:rsidRPr="00A22075" w:rsidRDefault="00980F2B" w:rsidP="009F5482">
            <w:r w:rsidRPr="00A22075">
              <w:t>Bevoegde bestuurslaag</w:t>
            </w:r>
          </w:p>
        </w:tc>
        <w:tc>
          <w:tcPr>
            <w:tcW w:w="3250" w:type="pct"/>
          </w:tcPr>
          <w:p w14:paraId="3A993DCE" w14:textId="77777777" w:rsidR="00980F2B" w:rsidRPr="00A22075" w:rsidRDefault="00980F2B" w:rsidP="009F5482">
            <w:pPr>
              <w:pStyle w:val="Opsommingtekens1"/>
              <w:rPr>
                <w:rFonts w:eastAsia="Verdana" w:cs="Verdana"/>
                <w:color w:val="000000" w:themeColor="text1"/>
              </w:rPr>
            </w:pPr>
            <w:r w:rsidRPr="00A22075">
              <w:t>bevoegd tot vaststellen:</w:t>
            </w:r>
          </w:p>
          <w:p w14:paraId="23E4E127" w14:textId="77777777" w:rsidR="00980F2B" w:rsidRPr="00A22075" w:rsidRDefault="00980F2B" w:rsidP="009F5482">
            <w:pPr>
              <w:pStyle w:val="Opsommingtekens2"/>
              <w:rPr>
                <w:rFonts w:eastAsia="Verdana" w:cs="Verdana"/>
                <w:color w:val="000000" w:themeColor="text1"/>
              </w:rPr>
            </w:pPr>
            <w:r w:rsidRPr="00A22075">
              <w:t>gemeente (art. 2.4 Ow)</w:t>
            </w:r>
          </w:p>
          <w:p w14:paraId="1E9E5C6D" w14:textId="77777777" w:rsidR="00980F2B" w:rsidRPr="00A22075" w:rsidRDefault="00980F2B" w:rsidP="009F5482">
            <w:pPr>
              <w:pStyle w:val="Opsommingtekens2"/>
              <w:rPr>
                <w:rFonts w:eastAsia="Verdana" w:cs="Verdana"/>
                <w:color w:val="000000" w:themeColor="text1"/>
              </w:rPr>
            </w:pPr>
            <w:r w:rsidRPr="00A22075">
              <w:t>(via indeplaatsstelling) provincie (art. 124 Gemeentewet)</w:t>
            </w:r>
          </w:p>
          <w:p w14:paraId="3C4C9179" w14:textId="77777777" w:rsidR="00980F2B" w:rsidRPr="00A22075" w:rsidRDefault="00980F2B" w:rsidP="009F5482">
            <w:pPr>
              <w:pStyle w:val="Opsommingtekens1"/>
              <w:rPr>
                <w:rFonts w:eastAsia="Verdana" w:cs="Verdana"/>
                <w:color w:val="000000" w:themeColor="text1"/>
              </w:rPr>
            </w:pPr>
            <w:r w:rsidRPr="00A22075">
              <w:t>bevoegd tot wijzigen bij projectbesluit, voorbereidingsbesluit of reactieve interventie (meervoudig bronhouderschap</w:t>
            </w:r>
            <w:r w:rsidRPr="00B26823">
              <w:rPr>
                <w:rStyle w:val="Voetnootmarkering"/>
              </w:rPr>
              <w:footnoteReference w:id="5"/>
            </w:r>
            <w:r w:rsidRPr="00B26823">
              <w:t>):</w:t>
            </w:r>
          </w:p>
          <w:p w14:paraId="60759A8F" w14:textId="77777777" w:rsidR="00980F2B" w:rsidRPr="00A22075" w:rsidRDefault="00980F2B" w:rsidP="009F5482">
            <w:pPr>
              <w:pStyle w:val="Opsommingtekens2"/>
              <w:rPr>
                <w:rFonts w:eastAsia="Verdana" w:cs="Verdana"/>
                <w:color w:val="000000" w:themeColor="text1"/>
              </w:rPr>
            </w:pPr>
            <w:r w:rsidRPr="00A22075">
              <w:t>waterschap (art. 5.52 Ow)</w:t>
            </w:r>
          </w:p>
          <w:p w14:paraId="1AB7445B" w14:textId="77777777" w:rsidR="00980F2B" w:rsidRPr="00A22075" w:rsidRDefault="00980F2B" w:rsidP="009F5482">
            <w:pPr>
              <w:pStyle w:val="Opsommingtekens2"/>
              <w:rPr>
                <w:rFonts w:eastAsia="Verdana" w:cs="Verdana"/>
                <w:color w:val="000000" w:themeColor="text1"/>
              </w:rPr>
            </w:pPr>
            <w:r w:rsidRPr="00A22075">
              <w:t>provincie (artt. 4.16, 5.52, 16.21 Ow)</w:t>
            </w:r>
          </w:p>
          <w:p w14:paraId="03C619D3" w14:textId="77777777" w:rsidR="00980F2B" w:rsidRPr="00A22075" w:rsidRDefault="00980F2B" w:rsidP="009F5482">
            <w:pPr>
              <w:pStyle w:val="Opsommingtekens2"/>
              <w:rPr>
                <w:rFonts w:eastAsia="Verdana" w:cs="Verdana"/>
                <w:color w:val="000000" w:themeColor="text1"/>
              </w:rPr>
            </w:pPr>
            <w:r w:rsidRPr="00A22075">
              <w:t>Rijk (artt. 4.16, 5.52 Ow)</w:t>
            </w:r>
          </w:p>
        </w:tc>
      </w:tr>
      <w:tr w:rsidR="00980F2B" w:rsidRPr="00A22075" w14:paraId="4DAC9864" w14:textId="77777777" w:rsidTr="009F5482">
        <w:tc>
          <w:tcPr>
            <w:tcW w:w="1750" w:type="pct"/>
          </w:tcPr>
          <w:p w14:paraId="6B6D5922" w14:textId="77777777" w:rsidR="00980F2B" w:rsidRPr="00A22075" w:rsidRDefault="00980F2B" w:rsidP="009F5482">
            <w:r w:rsidRPr="00A22075">
              <w:t>Bestuursorgaan</w:t>
            </w:r>
          </w:p>
        </w:tc>
        <w:tc>
          <w:tcPr>
            <w:tcW w:w="3250" w:type="pct"/>
          </w:tcPr>
          <w:p w14:paraId="5D0161A4" w14:textId="77777777" w:rsidR="00980F2B" w:rsidRPr="00A22075" w:rsidRDefault="00980F2B" w:rsidP="009F5482">
            <w:pPr>
              <w:pStyle w:val="Opsommingtekens1"/>
              <w:rPr>
                <w:rFonts w:eastAsia="Verdana" w:cs="Verdana"/>
                <w:color w:val="000000" w:themeColor="text1"/>
              </w:rPr>
            </w:pPr>
            <w:r w:rsidRPr="00A22075">
              <w:t>bevoegd tot vaststellen:</w:t>
            </w:r>
          </w:p>
          <w:p w14:paraId="190BA6D3" w14:textId="77777777" w:rsidR="00980F2B" w:rsidRPr="00A22075" w:rsidRDefault="00980F2B" w:rsidP="009F5482">
            <w:pPr>
              <w:pStyle w:val="Opsommingtekens2"/>
              <w:rPr>
                <w:rFonts w:eastAsia="Verdana" w:cs="Verdana"/>
                <w:color w:val="000000" w:themeColor="text1"/>
              </w:rPr>
            </w:pPr>
            <w:r w:rsidRPr="00A22075">
              <w:t>gemeenteraad (art. 2.4 Ow)</w:t>
            </w:r>
          </w:p>
          <w:p w14:paraId="6F0BA2BF" w14:textId="77777777" w:rsidR="00980F2B" w:rsidRPr="00A22075" w:rsidRDefault="00980F2B" w:rsidP="009F5482">
            <w:pPr>
              <w:pStyle w:val="Opsommingtekens2"/>
              <w:rPr>
                <w:rFonts w:eastAsia="Verdana" w:cs="Verdana"/>
                <w:color w:val="000000" w:themeColor="text1"/>
              </w:rPr>
            </w:pPr>
            <w:r w:rsidRPr="00A22075">
              <w:t>burgemeester en wethouders (na delegatie, art. 2.8 Ow)</w:t>
            </w:r>
          </w:p>
          <w:p w14:paraId="2C6F7F23" w14:textId="77777777" w:rsidR="00980F2B" w:rsidRPr="00A22075" w:rsidRDefault="00980F2B" w:rsidP="009F5482">
            <w:pPr>
              <w:pStyle w:val="Opsommingtekens2"/>
              <w:rPr>
                <w:rFonts w:eastAsia="Verdana" w:cs="Verdana"/>
                <w:color w:val="000000" w:themeColor="text1"/>
              </w:rPr>
            </w:pPr>
            <w:r w:rsidRPr="00A22075">
              <w:t>gedeputeerde staten (via indeplaatsstelling, art. 124 Gemeentewet)</w:t>
            </w:r>
          </w:p>
          <w:p w14:paraId="4C6D1E08" w14:textId="77777777" w:rsidR="00980F2B" w:rsidRPr="00A22075" w:rsidRDefault="00980F2B" w:rsidP="009F5482">
            <w:pPr>
              <w:pStyle w:val="Opsommingtekens1"/>
              <w:rPr>
                <w:rFonts w:eastAsia="Verdana" w:cs="Verdana"/>
                <w:color w:val="000000" w:themeColor="text1"/>
              </w:rPr>
            </w:pPr>
            <w:r w:rsidRPr="00A22075">
              <w:t>bevoegd tot wijzigen bij projectbesluit, voorbereidingsbesluit of reactieve interventie (meervoudig bronhouderschap</w:t>
            </w:r>
            <w:r w:rsidRPr="00B26823">
              <w:rPr>
                <w:rStyle w:val="Voetnootmarkering"/>
              </w:rPr>
              <w:footnoteReference w:id="6"/>
            </w:r>
            <w:r w:rsidRPr="00B26823">
              <w:t>):</w:t>
            </w:r>
          </w:p>
          <w:p w14:paraId="1125FB37" w14:textId="77777777" w:rsidR="00980F2B" w:rsidRPr="00A22075" w:rsidRDefault="00980F2B" w:rsidP="009F5482">
            <w:pPr>
              <w:pStyle w:val="Opsommingtekens2"/>
              <w:rPr>
                <w:rFonts w:eastAsia="Verdana" w:cs="Verdana"/>
                <w:color w:val="000000" w:themeColor="text1"/>
              </w:rPr>
            </w:pPr>
            <w:r w:rsidRPr="00A22075">
              <w:t>dagelijks bestuur waterschap (art. 5.52 Ow)</w:t>
            </w:r>
          </w:p>
          <w:p w14:paraId="79232C71" w14:textId="77777777" w:rsidR="00980F2B" w:rsidRPr="00A22075" w:rsidRDefault="00980F2B" w:rsidP="009F5482">
            <w:pPr>
              <w:pStyle w:val="Opsommingtekens2"/>
              <w:rPr>
                <w:rFonts w:eastAsia="Verdana" w:cs="Verdana"/>
                <w:color w:val="000000" w:themeColor="text1"/>
              </w:rPr>
            </w:pPr>
            <w:r w:rsidRPr="00A22075">
              <w:t>gedeputeerde staten (artt. 4.16, 5.52, 16.21 Ow)</w:t>
            </w:r>
          </w:p>
          <w:p w14:paraId="556CE57C" w14:textId="77777777" w:rsidR="00980F2B" w:rsidRPr="00A22075" w:rsidRDefault="00980F2B" w:rsidP="009F5482">
            <w:pPr>
              <w:pStyle w:val="Opsommingtekens2"/>
              <w:rPr>
                <w:rFonts w:eastAsia="Verdana" w:cs="Verdana"/>
                <w:color w:val="000000" w:themeColor="text1"/>
              </w:rPr>
            </w:pPr>
            <w:r w:rsidRPr="00A22075">
              <w:t>minister (artt. 4.16, 5.52 Ow)</w:t>
            </w:r>
          </w:p>
        </w:tc>
      </w:tr>
      <w:tr w:rsidR="00980F2B" w:rsidRPr="00A22075" w14:paraId="59BF5ED5" w14:textId="77777777" w:rsidTr="009F5482">
        <w:tc>
          <w:tcPr>
            <w:tcW w:w="1750" w:type="pct"/>
          </w:tcPr>
          <w:p w14:paraId="715F2611" w14:textId="77777777" w:rsidR="00980F2B" w:rsidRPr="00A22075" w:rsidRDefault="00980F2B" w:rsidP="009F5482">
            <w:pPr>
              <w:rPr>
                <w:rFonts w:eastAsia="Verdana" w:cs="Verdana"/>
              </w:rPr>
            </w:pPr>
            <w:r w:rsidRPr="00A22075">
              <w:t>Omgevingsdocument kan rechtstreeks ander omgevingsdocument wijzigen (meervoudig bronhouderschap</w:t>
            </w:r>
            <w:r w:rsidRPr="00B26823">
              <w:rPr>
                <w:rStyle w:val="Voetnootmarkering"/>
              </w:rPr>
              <w:footnoteReference w:id="7"/>
            </w:r>
            <w:r w:rsidRPr="00B26823">
              <w:t>)</w:t>
            </w:r>
          </w:p>
        </w:tc>
        <w:tc>
          <w:tcPr>
            <w:tcW w:w="3250" w:type="pct"/>
          </w:tcPr>
          <w:p w14:paraId="6A445009" w14:textId="77777777" w:rsidR="00980F2B" w:rsidRPr="00A22075" w:rsidRDefault="00980F2B" w:rsidP="009F5482">
            <w:r w:rsidRPr="00A22075">
              <w:t>Nee</w:t>
            </w:r>
          </w:p>
        </w:tc>
      </w:tr>
      <w:tr w:rsidR="00980F2B" w:rsidRPr="00A22075" w14:paraId="6948DB6A" w14:textId="77777777" w:rsidTr="009F5482">
        <w:tc>
          <w:tcPr>
            <w:tcW w:w="1750" w:type="pct"/>
          </w:tcPr>
          <w:p w14:paraId="1DA5EAFF" w14:textId="77777777" w:rsidR="00980F2B" w:rsidRPr="00A22075" w:rsidRDefault="00980F2B" w:rsidP="009F5482">
            <w:pPr>
              <w:rPr>
                <w:rFonts w:eastAsia="Verdana" w:cs="Verdana"/>
              </w:rPr>
            </w:pPr>
            <w:r w:rsidRPr="00A22075">
              <w:t>Ander omgevingsdocument kan rechtstreeks onderhavig omgevingsdocument wijzigen (meervoudig bronhouderschap</w:t>
            </w:r>
            <w:r w:rsidRPr="00B26823">
              <w:rPr>
                <w:rStyle w:val="Voetnootmarkering"/>
              </w:rPr>
              <w:footnoteReference w:id="8"/>
            </w:r>
            <w:r w:rsidRPr="00B26823">
              <w:t>)</w:t>
            </w:r>
          </w:p>
        </w:tc>
        <w:tc>
          <w:tcPr>
            <w:tcW w:w="3250" w:type="pct"/>
          </w:tcPr>
          <w:p w14:paraId="0134F568" w14:textId="77777777" w:rsidR="00980F2B" w:rsidRPr="00A22075" w:rsidRDefault="00980F2B" w:rsidP="009F5482">
            <w:r w:rsidRPr="00A22075">
              <w:t>Ja, namelijk:</w:t>
            </w:r>
          </w:p>
          <w:p w14:paraId="67B7562B" w14:textId="77777777" w:rsidR="00980F2B" w:rsidRPr="00A22075" w:rsidRDefault="00980F2B" w:rsidP="009F5482">
            <w:pPr>
              <w:pStyle w:val="Opsommingtekens1"/>
              <w:rPr>
                <w:rFonts w:eastAsia="Verdana" w:cs="Verdana"/>
              </w:rPr>
            </w:pPr>
            <w:r w:rsidRPr="00A22075">
              <w:t>besluit GS dat een onderdeel omgevingsplan geen deel van het omgevingsplan uitmaakt (art. 16.21 Ow, reactieve interventie)</w:t>
            </w:r>
          </w:p>
          <w:p w14:paraId="7F71A315" w14:textId="77777777" w:rsidR="00980F2B" w:rsidRPr="00A22075" w:rsidRDefault="00980F2B" w:rsidP="009F5482">
            <w:pPr>
              <w:pStyle w:val="Opsommingtekens1"/>
              <w:rPr>
                <w:rFonts w:eastAsia="Verdana" w:cs="Verdana"/>
              </w:rPr>
            </w:pPr>
            <w:r w:rsidRPr="00A22075">
              <w:t>projectbesluit (art. 5.52 Ow)</w:t>
            </w:r>
          </w:p>
          <w:p w14:paraId="458A64C6" w14:textId="77777777" w:rsidR="00980F2B" w:rsidRPr="00A22075" w:rsidRDefault="00980F2B" w:rsidP="009F5482">
            <w:pPr>
              <w:pStyle w:val="Opsommingtekens1"/>
              <w:rPr>
                <w:rFonts w:eastAsia="Verdana" w:cs="Verdana"/>
              </w:rPr>
            </w:pPr>
            <w:r w:rsidRPr="00A22075">
              <w:t>voorbereidingsbesluit genomen door ander bestuursorgaan dat omgevingsplan wijzigt met voorbeschermingsregels (art. 4.16 Ow)</w:t>
            </w:r>
          </w:p>
        </w:tc>
      </w:tr>
      <w:tr w:rsidR="00980F2B" w:rsidRPr="00A22075" w14:paraId="50A948E8" w14:textId="77777777" w:rsidTr="009F5482">
        <w:tc>
          <w:tcPr>
            <w:tcW w:w="1750" w:type="pct"/>
          </w:tcPr>
          <w:p w14:paraId="2B166965" w14:textId="77777777" w:rsidR="00980F2B" w:rsidRPr="00A22075" w:rsidRDefault="00980F2B" w:rsidP="009F5482">
            <w:pPr>
              <w:rPr>
                <w:color w:val="000000" w:themeColor="text1"/>
              </w:rPr>
            </w:pPr>
            <w:r w:rsidRPr="00A22075">
              <w:t>Rechtsfiguur kan gewijzigd worden door wijzigingsbesluiten</w:t>
            </w:r>
          </w:p>
        </w:tc>
        <w:tc>
          <w:tcPr>
            <w:tcW w:w="3250" w:type="pct"/>
          </w:tcPr>
          <w:p w14:paraId="15D61326" w14:textId="77777777" w:rsidR="00980F2B" w:rsidRPr="00A22075" w:rsidRDefault="00980F2B" w:rsidP="009F5482">
            <w:pPr>
              <w:rPr>
                <w:color w:val="000000" w:themeColor="text1"/>
              </w:rPr>
            </w:pPr>
            <w:r w:rsidRPr="00A22075">
              <w:t>Ja</w:t>
            </w:r>
          </w:p>
        </w:tc>
      </w:tr>
    </w:tbl>
    <w:p w14:paraId="428C8C0E" w14:textId="77777777" w:rsidR="00E33EDD" w:rsidRPr="00A22075" w:rsidRDefault="00E33EDD" w:rsidP="00E33EDD">
      <w:pPr>
        <w:pStyle w:val="Tabeltitel"/>
      </w:pPr>
      <w:bookmarkStart w:id="82" w:name="_Ref_54a8fdeaa95d2fa671ac83769a209825_3"/>
      <w:r w:rsidRPr="00A22075">
        <w:lastRenderedPageBreak/>
        <w:t>Vergelijking met huidige rechtsfiguren en RO Standaarden</w:t>
      </w:r>
      <w:bookmarkEnd w:id="82"/>
    </w:p>
    <w:tbl>
      <w:tblPr>
        <w:tblStyle w:val="Tabel"/>
        <w:tblW w:w="5000" w:type="pct"/>
        <w:tblLayout w:type="fixed"/>
        <w:tblLook w:val="0620" w:firstRow="1" w:lastRow="0" w:firstColumn="0" w:lastColumn="0" w:noHBand="1" w:noVBand="1"/>
      </w:tblPr>
      <w:tblGrid>
        <w:gridCol w:w="2973"/>
        <w:gridCol w:w="5521"/>
      </w:tblGrid>
      <w:tr w:rsidR="00E33EDD" w:rsidRPr="00A22075" w14:paraId="118548FD" w14:textId="77777777" w:rsidTr="00614CE9">
        <w:trPr>
          <w:cnfStyle w:val="100000000000" w:firstRow="1" w:lastRow="0" w:firstColumn="0" w:lastColumn="0" w:oddVBand="0" w:evenVBand="0" w:oddHBand="0" w:evenHBand="0" w:firstRowFirstColumn="0" w:firstRowLastColumn="0" w:lastRowFirstColumn="0" w:lastRowLastColumn="0"/>
          <w:tblHeader/>
        </w:trPr>
        <w:tc>
          <w:tcPr>
            <w:tcW w:w="1750" w:type="pct"/>
          </w:tcPr>
          <w:p w14:paraId="24E5CEC5" w14:textId="77777777" w:rsidR="00E33EDD" w:rsidRPr="00A22075" w:rsidRDefault="00E33EDD" w:rsidP="00614CE9">
            <w:r w:rsidRPr="00A22075">
              <w:t>Onderwerp</w:t>
            </w:r>
          </w:p>
        </w:tc>
        <w:tc>
          <w:tcPr>
            <w:tcW w:w="3250" w:type="pct"/>
          </w:tcPr>
          <w:p w14:paraId="1F3A1005" w14:textId="77777777" w:rsidR="00E33EDD" w:rsidRPr="00A22075" w:rsidRDefault="00E33EDD" w:rsidP="00614CE9">
            <w:r w:rsidRPr="00A22075">
              <w:t>Specificatie</w:t>
            </w:r>
          </w:p>
        </w:tc>
      </w:tr>
      <w:tr w:rsidR="00E33EDD" w:rsidRPr="00A22075" w14:paraId="10DE6C6E" w14:textId="77777777" w:rsidTr="00BD091D">
        <w:tc>
          <w:tcPr>
            <w:tcW w:w="1750" w:type="pct"/>
          </w:tcPr>
          <w:p w14:paraId="414DDC17" w14:textId="77777777" w:rsidR="00E33EDD" w:rsidRPr="00A22075" w:rsidRDefault="00E33EDD" w:rsidP="00614CE9">
            <w:pPr>
              <w:rPr>
                <w:color w:val="000000" w:themeColor="text1"/>
              </w:rPr>
            </w:pPr>
            <w:r w:rsidRPr="00A22075">
              <w:t>Vergelijkbaar met</w:t>
            </w:r>
            <w:r w:rsidR="00814DE3" w:rsidRPr="00A22075">
              <w:t xml:space="preserve"> </w:t>
            </w:r>
            <w:r w:rsidRPr="00A22075">
              <w:t>/ voortzetting van huidige rechtsfiguur</w:t>
            </w:r>
          </w:p>
        </w:tc>
        <w:tc>
          <w:tcPr>
            <w:tcW w:w="3250" w:type="pct"/>
          </w:tcPr>
          <w:p w14:paraId="63013173" w14:textId="77777777" w:rsidR="00E33EDD" w:rsidRPr="00A22075" w:rsidRDefault="00E33EDD" w:rsidP="00D00483">
            <w:pPr>
              <w:pStyle w:val="Opsommingtekens1"/>
              <w:rPr>
                <w:rFonts w:eastAsia="Verdana" w:cs="Verdana"/>
                <w:color w:val="000000" w:themeColor="text1"/>
              </w:rPr>
            </w:pPr>
            <w:r w:rsidRPr="00A22075">
              <w:t>bestemmingsplan, uitwerkingsplan, wijzigingsplan en inpassingsplan op basis van Wro</w:t>
            </w:r>
          </w:p>
          <w:p w14:paraId="3FD2F37A" w14:textId="77777777" w:rsidR="00E33EDD" w:rsidRPr="00A22075" w:rsidRDefault="00E33EDD" w:rsidP="00D00483">
            <w:pPr>
              <w:pStyle w:val="Opsommingtekens1"/>
              <w:rPr>
                <w:rFonts w:eastAsia="Verdana" w:cs="Verdana"/>
                <w:color w:val="000000" w:themeColor="text1"/>
              </w:rPr>
            </w:pPr>
            <w:r w:rsidRPr="00A22075">
              <w:t>beheersverordening op basis van Wro</w:t>
            </w:r>
          </w:p>
          <w:p w14:paraId="1AD35BF9" w14:textId="77777777" w:rsidR="00E33EDD" w:rsidRPr="00A22075" w:rsidRDefault="00E33EDD" w:rsidP="00D00483">
            <w:pPr>
              <w:pStyle w:val="Opsommingtekens1"/>
              <w:rPr>
                <w:rFonts w:eastAsia="Verdana" w:cs="Verdana"/>
                <w:color w:val="000000" w:themeColor="text1"/>
              </w:rPr>
            </w:pPr>
            <w:r w:rsidRPr="00A22075">
              <w:t>bestemmingsplan met verbrede reikwijdte op basis van Crisis- en herstelwet</w:t>
            </w:r>
          </w:p>
          <w:p w14:paraId="397C3254" w14:textId="77777777" w:rsidR="00E33EDD" w:rsidRPr="00A22075" w:rsidRDefault="00E33EDD" w:rsidP="00D00483">
            <w:pPr>
              <w:pStyle w:val="Opsommingtekens1"/>
              <w:rPr>
                <w:rFonts w:eastAsia="Verdana" w:cs="Verdana"/>
              </w:rPr>
            </w:pPr>
            <w:r w:rsidRPr="00A22075">
              <w:t>welstandsnota op basis van Woningwet</w:t>
            </w:r>
          </w:p>
          <w:p w14:paraId="6CA3964E" w14:textId="77777777" w:rsidR="00E33EDD" w:rsidRPr="00A22075" w:rsidRDefault="00E33EDD" w:rsidP="00D00483">
            <w:pPr>
              <w:pStyle w:val="Opsommingtekens1"/>
              <w:rPr>
                <w:rFonts w:eastAsia="Verdana" w:cs="Verdana"/>
              </w:rPr>
            </w:pPr>
            <w:r w:rsidRPr="00A22075">
              <w:t>erfgoedverordening op basis van Monumentenwet</w:t>
            </w:r>
          </w:p>
          <w:p w14:paraId="5ACA2DB6" w14:textId="77777777" w:rsidR="00E33EDD" w:rsidRPr="00A22075" w:rsidRDefault="00E33EDD" w:rsidP="00D00483">
            <w:pPr>
              <w:pStyle w:val="Opsommingtekens1"/>
              <w:rPr>
                <w:rFonts w:eastAsia="Verdana" w:cs="Verdana"/>
              </w:rPr>
            </w:pPr>
            <w:r w:rsidRPr="00A22075">
              <w:t>algemene plaatselijke verordening op basis van Gemeentewet</w:t>
            </w:r>
          </w:p>
          <w:p w14:paraId="1948973B" w14:textId="77777777" w:rsidR="00E33EDD" w:rsidRPr="00A22075" w:rsidRDefault="00E33EDD" w:rsidP="00D00483">
            <w:pPr>
              <w:pStyle w:val="Opsommingtekens1"/>
              <w:rPr>
                <w:rFonts w:eastAsia="Verdana" w:cs="Verdana"/>
              </w:rPr>
            </w:pPr>
            <w:r w:rsidRPr="00A22075">
              <w:rPr>
                <w:rFonts w:eastAsia="Verdana" w:cs="Verdana"/>
              </w:rPr>
              <w:t>…</w:t>
            </w:r>
          </w:p>
        </w:tc>
      </w:tr>
      <w:tr w:rsidR="00E33EDD" w:rsidRPr="00A22075" w14:paraId="741D82CA" w14:textId="77777777" w:rsidTr="00BD091D">
        <w:tc>
          <w:tcPr>
            <w:tcW w:w="1750" w:type="pct"/>
          </w:tcPr>
          <w:p w14:paraId="3FF28211" w14:textId="77777777" w:rsidR="00E33EDD" w:rsidRPr="00A22075" w:rsidRDefault="00E33EDD" w:rsidP="00D00483">
            <w:pPr>
              <w:rPr>
                <w:color w:val="000000" w:themeColor="text1"/>
              </w:rPr>
            </w:pPr>
            <w:r w:rsidRPr="00A22075">
              <w:rPr>
                <w:shd w:val="clear" w:color="auto" w:fill="FFFFFF"/>
              </w:rPr>
              <w:t>Voortzetting van instrument in</w:t>
            </w:r>
            <w:r w:rsidR="00D00483" w:rsidRPr="00A22075">
              <w:rPr>
                <w:shd w:val="clear" w:color="auto" w:fill="FFFFFF"/>
              </w:rPr>
              <w:t xml:space="preserve"> </w:t>
            </w:r>
            <w:r w:rsidRPr="00A22075">
              <w:rPr>
                <w:shd w:val="clear" w:color="auto" w:fill="FFFFFF"/>
              </w:rPr>
              <w:t>RO Standaarden</w:t>
            </w:r>
          </w:p>
        </w:tc>
        <w:tc>
          <w:tcPr>
            <w:tcW w:w="3250" w:type="pct"/>
          </w:tcPr>
          <w:p w14:paraId="5574924D" w14:textId="77777777" w:rsidR="00E33EDD" w:rsidRPr="00A22075" w:rsidRDefault="00E33EDD" w:rsidP="00D00483">
            <w:pPr>
              <w:rPr>
                <w:color w:val="000000" w:themeColor="text1"/>
                <w:szCs w:val="18"/>
              </w:rPr>
            </w:pPr>
            <w:r w:rsidRPr="00A22075">
              <w:rPr>
                <w:szCs w:val="18"/>
              </w:rPr>
              <w:t>Ja, bestemmingsplan en beheersverordening</w:t>
            </w:r>
          </w:p>
        </w:tc>
      </w:tr>
      <w:tr w:rsidR="00E33EDD" w:rsidRPr="00A22075" w14:paraId="7678592D" w14:textId="77777777" w:rsidTr="00BD091D">
        <w:tc>
          <w:tcPr>
            <w:tcW w:w="1750" w:type="pct"/>
          </w:tcPr>
          <w:p w14:paraId="2B2F7206" w14:textId="77777777" w:rsidR="00E33EDD" w:rsidRPr="00A22075" w:rsidRDefault="00E33EDD" w:rsidP="00D00483">
            <w:pPr>
              <w:rPr>
                <w:shd w:val="clear" w:color="auto" w:fill="FFFFFF"/>
              </w:rPr>
            </w:pPr>
            <w:r w:rsidRPr="00A22075">
              <w:rPr>
                <w:shd w:val="clear" w:color="auto" w:fill="FFFFFF"/>
              </w:rPr>
              <w:t>INSPIRE</w:t>
            </w:r>
            <w:r w:rsidR="005F4EBF" w:rsidRPr="00A22075">
              <w:rPr>
                <w:shd w:val="clear" w:color="auto" w:fill="FFFFFF"/>
              </w:rPr>
              <w:t>-</w:t>
            </w:r>
            <w:r w:rsidRPr="00A22075">
              <w:rPr>
                <w:shd w:val="clear" w:color="auto" w:fill="FFFFFF"/>
              </w:rPr>
              <w:t>thema</w:t>
            </w:r>
          </w:p>
        </w:tc>
        <w:tc>
          <w:tcPr>
            <w:tcW w:w="3250" w:type="pct"/>
          </w:tcPr>
          <w:p w14:paraId="563626B9" w14:textId="77777777" w:rsidR="00E33EDD" w:rsidRPr="00A22075" w:rsidRDefault="00E33EDD" w:rsidP="00D00483">
            <w:pPr>
              <w:rPr>
                <w:color w:val="000000" w:themeColor="text1"/>
                <w:szCs w:val="18"/>
              </w:rPr>
            </w:pPr>
            <w:r w:rsidRPr="00A22075">
              <w:rPr>
                <w:color w:val="000000" w:themeColor="text1"/>
                <w:szCs w:val="18"/>
              </w:rPr>
              <w:t>Planned Land Use: SpatialPlan</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