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A2C66" w14:textId="77777777" w:rsidR="00713915" w:rsidRDefault="00713915" w:rsidP="00713915">
      <w:pPr>
        <w:pStyle w:val="Kop3"/>
      </w:pPr>
      <w:r>
        <w:t>Modellen voor Besluit en Regeling en tekststructuren</w:t>
      </w:r>
    </w:p>
    <w:p w14:paraId="5F063A77" w14:textId="77777777" w:rsidR="00713915" w:rsidRDefault="00713915" w:rsidP="00713915">
      <w:r>
        <w:t xml:space="preserve">STOP schrijft voor hoe een officiële publicatie vormgegeven en aangeleverd moet worden om te kunnen worden bekendgemaakt of gepubliceerd en om te kunnen worden geconsolideerd. Onderdeel van die voorschriften van STOP zijn de modellen voor Besluit en </w:t>
      </w:r>
      <w:r w:rsidRPr="00C00470">
        <w:t xml:space="preserve">Regeling </w:t>
      </w:r>
      <w:r>
        <w:t>en de tekststructuren. Beide spelen een belangrijke rol bij het opstellen en aanleveren van omgevingsdocumenten.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