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578" w:name="_Ref_ec7bceb0aa9e3e6c064c2aa59a11bb52_1"/>
      <w:r w:rsidRPr="00F1426F">
        <w:t>Norm</w:t>
      </w:r>
      <w:bookmarkEnd w:id="578"/>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2495A3D2" w:rsidR="00E33EDD" w:rsidRPr="00F1426F" w:rsidRDefault="00E33EDD" w:rsidP="002F7B04">
      <w:r w:rsidRPr="00F1426F">
        <w:t>Regeltekst kent de volgende attributen:</w:t>
      </w:r>
    </w:p>
    <w:p w14:paraId="2C688330" w14:textId="052890B4"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58" Type="http://schemas.openxmlformats.org/officeDocument/2006/relationships/image" Target="media/image_aa0208563397adcc799ba977905f7ad7.png"/><Relationship Id="rId59"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