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789D" w14:textId="56AB1743" w:rsidR="00DD0591" w:rsidRPr="00F1426F" w:rsidRDefault="00EB1D3B" w:rsidP="002F7B04">
      <w:pPr>
        <w:pStyle w:val="Kop4"/>
      </w:pPr>
      <w:r w:rsidRPr="00F1426F">
        <w:t>Doel</w:t>
      </w:r>
    </w:p>
    <w:p w14:paraId="6791D95D" w14:textId="0E5ABDD3" w:rsidR="00372068" w:rsidRPr="00F1426F" w:rsidRDefault="003C660C" w:rsidP="002F7B04">
      <w:r w:rsidRPr="00F1426F">
        <w:t>Doel van het objecttype</w:t>
      </w:r>
      <w:r w:rsidR="003C5916" w:rsidRPr="00F1426F">
        <w:t xml:space="preserve"> Tekstdee</w:t>
      </w:r>
      <w:r w:rsidR="00994CB4" w:rsidRPr="00F1426F">
        <w:t>l</w:t>
      </w:r>
      <w:r w:rsidR="002C2836" w:rsidRPr="00F1426F">
        <w:t xml:space="preserve"> </w:t>
      </w:r>
      <w:r w:rsidR="00803EA0" w:rsidRPr="00F1426F">
        <w:t>is</w:t>
      </w:r>
      <w:r w:rsidR="00372068" w:rsidRPr="00F1426F">
        <w:t>:</w:t>
      </w:r>
    </w:p>
    <w:p w14:paraId="5184529E" w14:textId="0EEC2C23" w:rsidR="0027009C" w:rsidRPr="00F1426F" w:rsidRDefault="00DB1D58" w:rsidP="002F7B04">
      <w:pPr>
        <w:pStyle w:val="Opsommingtekens1"/>
      </w:pPr>
      <w:r w:rsidRPr="00F1426F">
        <w:t xml:space="preserve">het kunnen verbinden van </w:t>
      </w:r>
      <w:r w:rsidR="00372068" w:rsidRPr="00F1426F">
        <w:t xml:space="preserve">verschillende onderdelen van een </w:t>
      </w:r>
      <w:r w:rsidR="005B7174" w:rsidRPr="00F1426F">
        <w:t>Divisie</w:t>
      </w:r>
      <w:r w:rsidR="00372068" w:rsidRPr="00F1426F">
        <w:t xml:space="preserve"> </w:t>
      </w:r>
      <w:r w:rsidR="004565E3" w:rsidRPr="004565E3">
        <w:t xml:space="preserve">of Divisietekst </w:t>
      </w:r>
      <w:r w:rsidR="00372068" w:rsidRPr="00F1426F">
        <w:t>met eigen Locaties;</w:t>
      </w:r>
    </w:p>
    <w:p w14:paraId="6090A638" w14:textId="4778435B" w:rsidR="002050EA" w:rsidRPr="00F1426F" w:rsidRDefault="00DB1D58" w:rsidP="002F7B04">
      <w:pPr>
        <w:pStyle w:val="Opsommingtekens1"/>
      </w:pPr>
      <w:r w:rsidRPr="00F1426F">
        <w:t xml:space="preserve">het kunnen annoteren van </w:t>
      </w:r>
      <w:r w:rsidR="00372068" w:rsidRPr="00F1426F">
        <w:t xml:space="preserve">verschillende onderdelen van een </w:t>
      </w:r>
      <w:r w:rsidR="0027009C" w:rsidRPr="00F1426F">
        <w:t xml:space="preserve">Divisie </w:t>
      </w:r>
      <w:r w:rsidR="004565E3" w:rsidRPr="004565E3">
        <w:t xml:space="preserve">of Divisietekst </w:t>
      </w:r>
      <w:r w:rsidR="00372068" w:rsidRPr="00F1426F">
        <w:t>met thema</w:t>
      </w:r>
      <w:r w:rsidR="00B74821" w:rsidRPr="00F1426F">
        <w:t>, Hoofdlijn</w:t>
      </w:r>
      <w:r w:rsidR="00372068" w:rsidRPr="00F1426F">
        <w:t xml:space="preserve"> en de verschillende typen Gebiedsaanwijzing;</w:t>
      </w:r>
    </w:p>
    <w:p w14:paraId="20FA317C" w14:textId="11B2CDE0" w:rsidR="003C5916" w:rsidRPr="00F1426F" w:rsidRDefault="00FC0C92" w:rsidP="002F7B04">
      <w:pPr>
        <w:pStyle w:val="Opsommingtekens1"/>
      </w:pPr>
      <w:r w:rsidRPr="00F1426F">
        <w:t xml:space="preserve">het kunnen leggen van </w:t>
      </w:r>
      <w:r w:rsidR="00372068" w:rsidRPr="00F1426F">
        <w:t xml:space="preserve">de relaties tussen de </w:t>
      </w:r>
      <w:r w:rsidR="000545D3" w:rsidRPr="00F1426F">
        <w:t>domeinspecifieke</w:t>
      </w:r>
      <w:r w:rsidR="000545D3" w:rsidRPr="00F1426F" w:rsidDel="000545D3">
        <w:t xml:space="preserve"> </w:t>
      </w:r>
      <w:r w:rsidR="00372068" w:rsidRPr="00F1426F">
        <w:t xml:space="preserve">annotaties, waardoor </w:t>
      </w:r>
      <w:r w:rsidR="002050EA" w:rsidRPr="00F1426F">
        <w:t xml:space="preserve">het Tekstdeel </w:t>
      </w:r>
      <w:r w:rsidR="00372068" w:rsidRPr="00F1426F">
        <w:t>als geheel machineleesbaar wordt</w:t>
      </w:r>
      <w:r w:rsidR="00BB7999" w:rsidRPr="00F1426F">
        <w:t>;</w:t>
      </w:r>
    </w:p>
    <w:p w14:paraId="68958EBB" w14:textId="242EBFD0" w:rsidR="00BB7999" w:rsidRPr="00F1426F" w:rsidRDefault="00BB7999" w:rsidP="002F7B04">
      <w:pPr>
        <w:pStyle w:val="Opsommingtekens1"/>
      </w:pPr>
      <w:r w:rsidRPr="00F1426F">
        <w:t xml:space="preserve">het, door middel van het attribuut </w:t>
      </w:r>
      <w:r w:rsidRPr="00F1426F">
        <w:rPr>
          <w:i/>
          <w:iCs/>
        </w:rPr>
        <w:t>thema</w:t>
      </w:r>
      <w:r w:rsidRPr="00F1426F">
        <w:t>, in samenhang kunnen tonen van verschillende Tekstdelen;</w:t>
      </w:r>
    </w:p>
    <w:p w14:paraId="39B24B76" w14:textId="75C90A39" w:rsidR="00E24D4F" w:rsidRPr="00F1426F" w:rsidRDefault="00BB7999" w:rsidP="002F7B04">
      <w:pPr>
        <w:pStyle w:val="Opsommingtekens1"/>
      </w:pPr>
      <w:r w:rsidRPr="00F1426F">
        <w:t>het kunnen leggen van verbindingen tussen onderdelen van verschillende omgevingsdocumenten, bijvoorbeeld een omgevingsvisie en een omgevingsverordening, die met hetzelfde thema zijn geannoteerd.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