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FA90" w14:textId="6FD16BF0" w:rsidR="00832FDD" w:rsidRPr="00F1426F" w:rsidRDefault="00832FDD" w:rsidP="002F7B04">
      <w:pPr>
        <w:pStyle w:val="Kop4"/>
      </w:pPr>
      <w:r w:rsidRPr="00F1426F">
        <w:t>Definitie</w:t>
      </w:r>
    </w:p>
    <w:p w14:paraId="237BA3B5" w14:textId="038C3486" w:rsidR="005B0F9E" w:rsidRPr="00F1426F" w:rsidRDefault="005B0F9E" w:rsidP="002F7B04">
      <w:r w:rsidRPr="00F1426F">
        <w:t xml:space="preserve">Activiteit is </w:t>
      </w:r>
      <w:r w:rsidR="003C660C" w:rsidRPr="00F1426F">
        <w:t xml:space="preserve">het objecttype voor </w:t>
      </w:r>
      <w:r w:rsid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rechtstreeks werkende regel en de bijbehorende Locatie(s) gaan over een activiteit</w:t>
      </w:r>
      <w:r w:rsidR="002C0D6E" w:rsidRPr="00F1426F">
        <w:t xml:space="preserve"> als bedoeld in de Omgevingswet: menselijk handelen waarbij, of menselijk nalaten waardoor een verandering of effect in de fysieke leefomgeving wordt of kan worden bewerkstelligd</w:t>
      </w:r>
      <w:r w:rsidR="00515F39"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