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05F40" w:rsidRPr="007F28B9" w:rsidRDefault="00205F40" w:rsidP="00205F40">
      <w:pPr>
        <w:pStyle w:val="Kop5"/>
      </w:pPr>
      <w:bookmarkStart w:id="755" w:name="_Ref_c9f110bd5a6b7e983feb412101ea8823_1"/>
      <w:r w:rsidRPr="007F28B9">
        <w:lastRenderedPageBreak/>
        <w:t>Functie</w:t>
      </w:r>
      <w:bookmarkEnd w:id="755"/>
    </w:p>
    <w:p w14:paraId="5DC8661F" w14:textId="77777777" w:rsidR="00205F40" w:rsidRPr="007F28B9" w:rsidRDefault="00205F40" w:rsidP="00205F40">
      <w:pPr>
        <w:pStyle w:val="Kop6"/>
      </w:pPr>
      <w:r w:rsidRPr="007F28B9">
        <w:t>Toelichting op de toepassing</w:t>
      </w:r>
    </w:p>
    <w:p w14:paraId="6C02A6A6" w14:textId="77777777" w:rsidR="00205F40" w:rsidRPr="007F28B9" w:rsidRDefault="00205F40"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op een kaartbeeld 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zodanig stellen van regels over activiteiten en de locaties waar die activiteiten wel of juist niet verricht mogen worden dat onderling evenwicht ontstaat.</w:t>
      </w:r>
    </w:p>
    <w:p w14:paraId="3CC02404" w14:textId="77777777" w:rsidR="00205F40" w:rsidRPr="007F28B9" w:rsidRDefault="00205F40" w:rsidP="00205F40">
      <w:r w:rsidRPr="007F28B9">
        <w:t>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Pr="00B26823">
        <w:rPr>
          <w:rStyle w:val="Voetnootmarkering"/>
        </w:rPr>
        <w:footnoteReference w:id="21"/>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05F40" w:rsidRPr="007F28B9" w:rsidRDefault="00205F40"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05F40" w:rsidRPr="007F28B9" w:rsidRDefault="00205F40" w:rsidP="00205F40">
      <w:r w:rsidRPr="007F28B9">
        <w:t>Op deze manier kan een aantal varianten van het omgevingsplan ontstaan:</w:t>
      </w:r>
    </w:p>
    <w:p w14:paraId="37F441A5" w14:textId="77777777" w:rsidR="00205F40" w:rsidRPr="007F28B9" w:rsidRDefault="00205F40"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05F40" w:rsidRPr="007F28B9" w:rsidRDefault="00205F40"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05F40" w:rsidRPr="007F28B9" w:rsidRDefault="00205F40"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05F40" w:rsidRDefault="00205F40"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22"/>
      </w:r>
      <w:r>
        <w:t>.</w:t>
      </w:r>
    </w:p>
    <w:p w14:paraId="25904AFE" w14:textId="77777777" w:rsidR="00205F40" w:rsidRDefault="00205F40" w:rsidP="00205F40">
      <w:r w:rsidRPr="00E25EF9">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23"/>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w:t>
      </w:r>
      <w:r>
        <w:lastRenderedPageBreak/>
        <w:t>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 Een tweede geval is het rijks</w:t>
      </w:r>
      <w:r w:rsidRPr="00083292">
        <w:t xml:space="preserve">beschermde stads- </w:t>
      </w:r>
      <w:r>
        <w:t>of</w:t>
      </w:r>
      <w:r w:rsidRPr="00083292">
        <w:t xml:space="preserve"> dorpsgezicht</w:t>
      </w:r>
      <w:r>
        <w:t xml:space="preserve">. </w:t>
      </w:r>
      <w:r w:rsidRPr="00083292">
        <w:t>Het vierde lid van artikel 2.34 Omgevingswet biedt het Rijk een expliciete grondslag voor het geven van een instructie aan de gemeenteraad tot het in het omgevingsplan voor een locatie opnemen van de functieaanduiding rijksbeschermd stads- of dorpsgezicht.</w:t>
      </w:r>
    </w:p>
    <w:p w14:paraId="2B99B57C" w14:textId="77777777" w:rsidR="00205F40" w:rsidRPr="007B60F8" w:rsidRDefault="00205F40"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05F40" w:rsidRPr="007F28B9" w:rsidRDefault="00205F40" w:rsidP="00205F40">
      <w:pPr>
        <w:pStyle w:val="Kop6"/>
      </w:pPr>
      <w:r w:rsidRPr="007F28B9">
        <w:t>Definitie</w:t>
      </w:r>
    </w:p>
    <w:p w14:paraId="60D94DA9" w14:textId="77777777" w:rsidR="00205F40" w:rsidRPr="007F28B9" w:rsidRDefault="00205F40"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