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r w:rsidRPr="007F28B9">
        <w:t>Toelichting op de toepassing</w:t>
      </w:r>
    </w:p>
    <w:p w14:paraId="5049E046" w14:textId="39C973E7" w:rsidR="00046669" w:rsidRPr="007F28B9" w:rsidRDefault="00046669" w:rsidP="00046669">
      <w:r w:rsidRPr="007F28B9">
        <w:t xml:space="preserve">In paragraaf </w:t>
      </w:r>
      <w:r w:rsidR="002E5266" w:rsidRPr="00EF065D">
        <w:rPr>
          <w:rStyle w:val="Verwijzing"/>
        </w:rPr>
        <w:fldChar w:fldCharType="begin"/>
      </w:r>
      <w:r w:rsidR="002E5266" w:rsidRPr="00EF065D">
        <w:rPr>
          <w:rStyle w:val="Verwijzing"/>
        </w:rPr>
        <w:instrText xml:space="preserve"> REF _Ref_d1398ef7c416ea01a24d66ce6db2395f_1 \n \h </w:instrText>
      </w:r>
      <w:r w:rsidR="002E5266" w:rsidRPr="00EF065D">
        <w:rPr>
          <w:rStyle w:val="Verwijzing"/>
        </w:rPr>
      </w:r>
      <w:r w:rsidR="002E5266" w:rsidRPr="00EF065D">
        <w:rPr>
          <w:rStyle w:val="Verwijzing"/>
        </w:rPr>
        <w:fldChar w:fldCharType="separate"/>
      </w:r>
      <w:r w:rsidR="00D90108" w:rsidRPr="00EF065D">
        <w:rPr>
          <w:rStyle w:val="Verwijzing"/>
        </w:rPr>
        <w:t>2.5</w:t>
      </w:r>
      <w:r w:rsidR="002E5266" w:rsidRPr="00EF065D">
        <w:rPr>
          <w:rStyle w:val="Verwijzing"/>
        </w:rPr>
        <w:fldChar w:fldCharType="end"/>
      </w:r>
      <w:r w:rsidRPr="00B26823">
        <w:t xml:space="preserve">, die over de </w:t>
      </w:r>
      <w:r w:rsidRPr="007B60F8">
        <w:t>overgangsfase van het omgevingsplan</w:t>
      </w:r>
      <w:r w:rsidRPr="000E40D3">
        <w:t xml:space="preserve"> gaat,</w:t>
      </w:r>
      <w:r w:rsidRPr="00F1426F">
        <w:t xml:space="preserve"> is beschreven dat diverse instrumenten op basis van de Wet ruimtelijke ordening, Crisis- en herstelwet</w:t>
      </w:r>
      <w:r w:rsidRPr="007F28B9">
        <w:t xml:space="preserve"> en dergelijke na inwerkingtreden van de Omgevingswet samen het omgevingsplan van rechtswege vormen. Gedurende de overgangsfase wordt het omgevingsplan van rechtswege vervangen door het omgevingsplan op grond van de Omgevingswet.</w:t>
      </w:r>
    </w:p>
    <w:p w14:paraId="3D2DCA00" w14:textId="5D197664" w:rsidR="00046669" w:rsidRPr="007F28B9" w:rsidRDefault="00046669" w:rsidP="00046669">
      <w:r w:rsidRPr="007F28B9">
        <w:t xml:space="preserve">De via ruimtelijkeplannen.nl elektronisch beschikbaar gestelde ruimtelijke plannen, onderdeel van het omgevingsplan van rechtswege, blijven via een overbruggingsfunctie in DSO-LV raadpleegbaar. Voor de gebruiker van DSO-LV is het van belang om te weten welke regels gelden: die uit het omgevingsplan van rechtswege, die uit het omgevingsplan conform Omgevingswet of allebei. Om die duidelijkheid te kunnen verschaffen kan het bevoegd gezag bij het aanleveren van een besluit tot vaststelling of wijziging van het omgevingsplan een stukje extra informatie aanleveren waarmee het aangeeft dat dat besluit een deel van het omgevingsplan van rechtswege vervangt. Met andere woorden: aangegeven kan worden of door het besluit één of meer delen van in de overbruggingsfunctie aanwezige </w:t>
      </w:r>
      <w:r w:rsidRPr="007F28B9">
        <w:lastRenderedPageBreak/>
        <w:t xml:space="preserve">bestemmingsplan(nen) vervallen. Als dat het geval is wordt met het besluit een geometrie meegeleverd van het vervallen deel. Dit deel wordt dan in DSO-LV niet meer getoond. Als door het besluit één of meer bestemmingsplannen volledig vervallen is dit niet nodig: dan verwijdert het bevoegd gezag het plan uit het Wro-manifest van de gemeente en wordt het langs die weg ook uit de overbruggingsfunctie verwijderd. Voor het aanleveren van de extra informatie wordt het </w:t>
      </w:r>
      <w:r w:rsidR="00EC2F5F">
        <w:t>OW-</w:t>
      </w:r>
      <w:r w:rsidRPr="007F28B9">
        <w:t>object Pons gebruikt.</w:t>
      </w:r>
    </w:p>
    <w:p w14:paraId="20AB4369" w14:textId="77777777" w:rsidR="00046669" w:rsidRDefault="00046669" w:rsidP="00046669">
      <w:r w:rsidRPr="007F28B9">
        <w:t>Met het vervallen van delen van een bestemmingsplan wordt in dit verband uitsluitend bedoeld de situatie waarin voor een deel van het plangebied het bestemmingsplan vervalt: alle in dat deel aanwezige bestemmingen, aanduidingen en regels vervallen. Er ontstaan daardoor gaten in de plankaart waar het bestemmingsplan niet meer geldt. Er wordt niet de situatie bedoeld waarin een of meer aanduidingen vervallen en/of een deel van de regels van een bestemming vervalt, of bijvoorbeeld alle regels over monumentale bomen.</w:t>
      </w:r>
    </w:p>
    <w:p w14:paraId="6DE44211" w14:textId="60298FA2" w:rsidR="006F297D" w:rsidRPr="007F28B9" w:rsidRDefault="00D730D4" w:rsidP="00046669">
      <w:r>
        <w:t xml:space="preserve">Pons is </w:t>
      </w:r>
      <w:r w:rsidR="008557ED">
        <w:t xml:space="preserve">een </w:t>
      </w:r>
      <w:r w:rsidR="003036D2">
        <w:t>objecttype dat hoort bij de Regeling</w:t>
      </w:r>
      <w:r w:rsidR="00FA40B1">
        <w:t xml:space="preserve"> en niet wordt gekoppeld aan een </w:t>
      </w:r>
      <w:r w:rsidR="001A3597">
        <w:t>Juridische regel</w:t>
      </w:r>
      <w:r w:rsidR="003036D2">
        <w:t xml:space="preserve">. </w:t>
      </w:r>
      <w:r w:rsidR="00E45621">
        <w:t xml:space="preserve">Het is dus niet nodig </w:t>
      </w:r>
      <w:r w:rsidR="00F426C3">
        <w:t xml:space="preserve">(en ook niet de bedoeling) </w:t>
      </w:r>
      <w:r w:rsidR="001A3597">
        <w:t xml:space="preserve">om in het omgevingsplan een artikel </w:t>
      </w:r>
      <w:r w:rsidR="00F426C3">
        <w:t xml:space="preserve">op te nemen </w:t>
      </w:r>
      <w:r w:rsidR="007D591F">
        <w:t>dat een Pons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