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96DAC541-7B7A-43D3-8B79-37D633B846F1}">
                          <asvg:svgBlip xmlns:asvg="http://schemas.microsoft.com/office/drawing/2016/SVG/main" r:embed="rId104"/>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27F65B11" w:rsidR="00030D6F" w:rsidRPr="007F28B9" w:rsidRDefault="00046669" w:rsidP="00046669">
      <w:r w:rsidRPr="007F28B9">
        <w:t>Het object Pons dient te worden aangeleverd wanneer het bevoegd gezag een besluit tot vaststelling of wijziging van het omgevingsplan heeft genomen waardoor één of meer delen van een bestemmingsplan dat in de overbruggingsfunctie aanwezig is, zijn vervallen: alle bestemmingen, aanduidingen en regels die in dat deel of die delen van toepassing waren, zijn vervallen. De overbruggingsfunctie hoeft de bestemmingsplandelen die zijn vervallen niet meer te tonen.</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77777777" w:rsidR="00046669" w:rsidRPr="007F28B9" w:rsidRDefault="00046669" w:rsidP="00046669">
      <w:pPr>
        <w:pStyle w:val="Opsommingtekens1"/>
      </w:pPr>
      <w:r w:rsidRPr="007F28B9">
        <w:rPr>
          <w:i/>
          <w:iCs/>
        </w:rPr>
        <w:lastRenderedPageBreak/>
        <w:t>identificatie</w:t>
      </w:r>
      <w:r w:rsidRPr="007F28B9">
        <w:t>: de unieke identificatie waaronder elk object van dit type bekend is. Identificatie conform datatype NEN3610-ID. Verplicht attribuut. Komt 1 keer voor.</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03" Type="http://schemas.openxmlformats.org/officeDocument/2006/relationships/image" Target="media/image_c7c4e5baed6d5f11e535cec04db307b8.png"/><Relationship Id="rId104"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