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26"/>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w:t>
      </w:r>
      <w:r>
        <w:lastRenderedPageBreak/>
        <w:t xml:space="preserve">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51CA6520" w:rsidR="002F26D6" w:rsidRDefault="002F26D6" w:rsidP="002F26D6">
      <w:r>
        <w:t xml:space="preserve">Wanneer het bevoegd bezag bepaalde normen op verschillende plekken verschillende waarden wil geven kan dat op twee manieren. De eerste manier is door alle adressen of percelen én de bijbehorende waarden in de tekst van de regel op te nemen, zoals getoond in </w:t>
      </w:r>
      <w:r w:rsidR="00B31856" w:rsidRPr="00EF065D">
        <w:rPr>
          <w:rStyle w:val="Verwijzing"/>
        </w:rPr>
        <w:fldChar w:fldCharType="begin"/>
      </w:r>
      <w:r w:rsidR="00B31856" w:rsidRPr="00EF065D">
        <w:rPr>
          <w:rStyle w:val="Verwijzing"/>
        </w:rPr>
        <w:instrText xml:space="preserve"> REF _Ref_df88e5bc6b59f0ba3b1594b040c23295_3 \n \h </w:instrText>
      </w:r>
      <w:r w:rsidR="00B31856" w:rsidRPr="00EF065D">
        <w:rPr>
          <w:rStyle w:val="Verwijzing"/>
        </w:rPr>
      </w:r>
      <w:r w:rsidR="00B31856" w:rsidRPr="00EF065D">
        <w:rPr>
          <w:rStyle w:val="Verwijzing"/>
        </w:rPr>
        <w:fldChar w:fldCharType="separate"/>
      </w:r>
      <w:r w:rsidR="00D90108" w:rsidRPr="00EF065D">
        <w:rPr>
          <w:rStyle w:val="Verwijzing"/>
        </w:rPr>
        <w:t>Figuur 54</w:t>
      </w:r>
      <w:r w:rsidR="00B31856" w:rsidRPr="00EF065D">
        <w:rPr>
          <w:rStyle w:val="Verwijzing"/>
        </w:rPr>
        <w:fldChar w:fldCharType="end"/>
      </w:r>
      <w:r w:rsidR="00B31856">
        <w:t xml:space="preserve"> en </w:t>
      </w:r>
      <w:r w:rsidR="00B31856" w:rsidRPr="00EF065D">
        <w:rPr>
          <w:rStyle w:val="Verwijzing"/>
        </w:rPr>
        <w:fldChar w:fldCharType="begin"/>
      </w:r>
      <w:r w:rsidR="00B31856" w:rsidRPr="00EF065D">
        <w:rPr>
          <w:rStyle w:val="Verwijzing"/>
        </w:rPr>
        <w:instrText xml:space="preserve"> REF _Ref_df88e5bc6b59f0ba3b1594b040c23295_4 \n \h </w:instrText>
      </w:r>
      <w:r w:rsidR="00B31856" w:rsidRPr="00EF065D">
        <w:rPr>
          <w:rStyle w:val="Verwijzing"/>
        </w:rPr>
      </w:r>
      <w:r w:rsidR="00B31856" w:rsidRPr="00EF065D">
        <w:rPr>
          <w:rStyle w:val="Verwijzing"/>
        </w:rPr>
        <w:fldChar w:fldCharType="separate"/>
      </w:r>
      <w:r w:rsidR="00D90108" w:rsidRPr="00EF065D">
        <w:rPr>
          <w:rStyle w:val="Verwijzing"/>
        </w:rPr>
        <w:t>Figuur 55</w:t>
      </w:r>
      <w:r w:rsidR="00B31856" w:rsidRPr="00EF065D">
        <w:rPr>
          <w:rStyle w:val="Verwijzing"/>
        </w:rPr>
        <w:fldChar w:fldCharType="end"/>
      </w:r>
      <w:r>
        <w:t xml:space="preserve"> in paragraaf </w:t>
      </w:r>
      <w:r w:rsidR="005A6C91" w:rsidRPr="00EF065D">
        <w:rPr>
          <w:rStyle w:val="Verwijzing"/>
        </w:rPr>
        <w:fldChar w:fldCharType="begin"/>
      </w:r>
      <w:r w:rsidR="005A6C91" w:rsidRPr="00EF065D">
        <w:rPr>
          <w:rStyle w:val="Verwijzing"/>
        </w:rPr>
        <w:instrText xml:space="preserve"> REF _Ref_df88e5bc6b59f0ba3b1594b040c23295_1 \n \h </w:instrText>
      </w:r>
      <w:r w:rsidR="005A6C91" w:rsidRPr="00EF065D">
        <w:rPr>
          <w:rStyle w:val="Verwijzing"/>
        </w:rPr>
      </w:r>
      <w:r w:rsidR="005A6C91" w:rsidRPr="00EF065D">
        <w:rPr>
          <w:rStyle w:val="Verwijzing"/>
        </w:rPr>
        <w:fldChar w:fldCharType="separate"/>
      </w:r>
      <w:r w:rsidR="00D90108" w:rsidRPr="00EF065D">
        <w:rPr>
          <w:rStyle w:val="Verwijzing"/>
        </w:rPr>
        <w:t>7.12.1</w:t>
      </w:r>
      <w:r w:rsidR="005A6C91" w:rsidRPr="00EF065D">
        <w:rPr>
          <w:rStyle w:val="Verwijzing"/>
        </w:rPr>
        <w:fldChar w:fldCharType="end"/>
      </w:r>
      <w:r>
        <w:t xml:space="preserve">. Doordat de waarden en de adressen of percelen waar die waarden gelden in de (mensleesbare) tekst staan, vormen ze rechtstreeks onderdeel van het besluit. Ze hebben daarmee juridische werking. Als het bevoegd gezag de gebruiker makkelijker en duidelijker inzicht wil geven, dan kiest het bevoegd gezag voor de tweede 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D44198">
        <w:t>de GIO</w:t>
      </w:r>
      <w:r>
        <w:t xml:space="preserve"> (zie </w:t>
      </w:r>
      <w:r w:rsidR="005A6FB3" w:rsidRPr="00EF065D">
        <w:rPr>
          <w:rStyle w:val="Verwijzing"/>
        </w:rPr>
        <w:fldChar w:fldCharType="begin"/>
      </w:r>
      <w:r w:rsidR="005A6FB3" w:rsidRPr="00EF065D">
        <w:rPr>
          <w:rStyle w:val="Verwijzing"/>
        </w:rPr>
        <w:instrText xml:space="preserve"> REF _Ref_4552725304a039aaf2ff4eda6a046b93_2 \n \h </w:instrText>
      </w:r>
      <w:r w:rsidR="005A6FB3" w:rsidRPr="00EF065D">
        <w:rPr>
          <w:rStyle w:val="Verwijzing"/>
        </w:rPr>
      </w:r>
      <w:r w:rsidR="005A6FB3" w:rsidRPr="00EF065D">
        <w:rPr>
          <w:rStyle w:val="Verwijzing"/>
        </w:rPr>
        <w:fldChar w:fldCharType="separate"/>
      </w:r>
      <w:r w:rsidR="00D90108" w:rsidRPr="00EF065D">
        <w:rPr>
          <w:rStyle w:val="Verwijzing"/>
        </w:rPr>
        <w:t>Figuur 30</w:t>
      </w:r>
      <w:r w:rsidR="005A6FB3" w:rsidRPr="00EF065D">
        <w:rPr>
          <w:rStyle w:val="Verwijzing"/>
        </w:rPr>
        <w:fldChar w:fldCharType="end"/>
      </w:r>
      <w:r>
        <w:t xml:space="preserve"> voor een illustratie). Door het vastleggen van de waarden in </w:t>
      </w:r>
      <w:r w:rsidR="00D44198">
        <w:t>GIO’s</w:t>
      </w:r>
      <w:r>
        <w:t xml:space="preserve"> en daarnaar door middel van een noemer in de tekst van de regel te verwijzen, krijgen de waarden juridische werking en zijn ze onderdeel van het besluit.</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