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06C32" w14:textId="3D2E7347" w:rsidR="00E33EDD" w:rsidRPr="00C06D5E" w:rsidRDefault="00E33EDD" w:rsidP="00E33EDD">
      <w:pPr>
        <w:pStyle w:val="Kop3"/>
      </w:pPr>
      <w:r w:rsidRPr="00C06D5E">
        <w:t xml:space="preserve">De actuele geldende versie van </w:t>
      </w:r>
      <w:fldSimple w:instr=" DOCVARIABLE ID01+ ">
        <w:r w:rsidR="003263D1">
          <w:t>de instructie</w:t>
        </w:r>
      </w:fldSimple>
    </w:p>
    <w:p w14:paraId="677149D4" w14:textId="266F756C" w:rsidR="00791BBF" w:rsidRPr="00F62F31" w:rsidRDefault="00791BBF" w:rsidP="00E33EDD">
      <w:r w:rsidRPr="00791BBF">
        <w:t xml:space="preserve">De actuele juridisch geldende versie van een </w:t>
      </w:r>
      <w:r w:rsidR="00B94708">
        <w:t xml:space="preserve">instructie </w:t>
      </w:r>
      <w:r w:rsidRPr="00791BBF">
        <w:t xml:space="preserve">bestaat uit het </w:t>
      </w:r>
      <w:r w:rsidR="00B94708">
        <w:t>instructie</w:t>
      </w:r>
      <w:r w:rsidRPr="00791BBF">
        <w:t xml:space="preserve">-deel (oftewel het deel twee) van de </w:t>
      </w:r>
      <w:r w:rsidR="00B94708">
        <w:t>instructie</w:t>
      </w:r>
      <w:r w:rsidRPr="00791BBF">
        <w:t xml:space="preserve"> en de delen twee van eventueel daarop volgende besluiten tot wijziging van die </w:t>
      </w:r>
      <w:r w:rsidR="00C14DE0">
        <w:t>instructie</w:t>
      </w:r>
      <w:r w:rsidRPr="00791BBF">
        <w:t xml:space="preserve">. Het deel </w:t>
      </w:r>
      <w:r w:rsidR="007F066A">
        <w:t xml:space="preserve">met </w:t>
      </w:r>
      <w:r w:rsidR="007F066A" w:rsidRPr="007F066A">
        <w:t xml:space="preserve">vaststellingsdocumenten en motivering </w:t>
      </w:r>
      <w:r w:rsidRPr="00791BBF">
        <w:t xml:space="preserve">en eventueel daarbij behorende bijlagen maken daar geen deel van uit. Deze onderdelen van het besluit zijn niet juridisch bindend. Wel kunnen deze delen uiteraard een rol spelen bij de interpretatie van de regels van de </w:t>
      </w:r>
      <w:r w:rsidR="00C14DE0">
        <w:t>instructie</w:t>
      </w:r>
      <w:r w:rsidRPr="00791BB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